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618105B7" w:rsidR="001E489F" w:rsidRPr="006C2E80" w:rsidRDefault="001E489F"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3GPP TSG</w:t>
      </w:r>
      <w:r w:rsidR="002F0AFB">
        <w:rPr>
          <w:rFonts w:ascii="Arial" w:hAnsi="Arial"/>
          <w:b/>
          <w:noProof/>
          <w:sz w:val="24"/>
          <w:szCs w:val="24"/>
          <w:lang w:eastAsia="ja-JP"/>
        </w:rPr>
        <w:t xml:space="preserve"> RAN</w:t>
      </w:r>
      <w:r w:rsidRPr="007861B8">
        <w:rPr>
          <w:rFonts w:ascii="Arial" w:hAnsi="Arial"/>
          <w:b/>
          <w:noProof/>
          <w:sz w:val="24"/>
          <w:szCs w:val="24"/>
          <w:lang w:eastAsia="ja-JP"/>
        </w:rPr>
        <w:t xml:space="preserve"> </w:t>
      </w:r>
      <w:r w:rsidR="002F0AFB">
        <w:rPr>
          <w:rFonts w:ascii="Arial" w:hAnsi="Arial"/>
          <w:b/>
          <w:noProof/>
          <w:sz w:val="24"/>
          <w:szCs w:val="24"/>
          <w:lang w:eastAsia="ja-JP"/>
        </w:rPr>
        <w:t>Rel-19 Workshop</w:t>
      </w:r>
      <w:r w:rsidRPr="007861B8">
        <w:rPr>
          <w:rFonts w:ascii="Arial" w:hAnsi="Arial"/>
          <w:b/>
          <w:noProof/>
          <w:sz w:val="24"/>
          <w:szCs w:val="24"/>
          <w:lang w:eastAsia="ja-JP"/>
        </w:rPr>
        <w:tab/>
      </w:r>
      <w:r w:rsidR="002F0AFB">
        <w:rPr>
          <w:rFonts w:ascii="Arial" w:hAnsi="Arial"/>
          <w:b/>
          <w:noProof/>
          <w:sz w:val="24"/>
          <w:szCs w:val="24"/>
          <w:lang w:eastAsia="ja-JP"/>
        </w:rPr>
        <w:t>RP</w:t>
      </w:r>
      <w:r w:rsidRPr="007861B8">
        <w:rPr>
          <w:rFonts w:ascii="Arial" w:hAnsi="Arial"/>
          <w:b/>
          <w:noProof/>
          <w:sz w:val="24"/>
          <w:szCs w:val="24"/>
          <w:lang w:eastAsia="ja-JP"/>
        </w:rPr>
        <w:t>-</w:t>
      </w:r>
      <w:r w:rsidR="002F0AFB">
        <w:rPr>
          <w:rFonts w:ascii="Arial" w:hAnsi="Arial"/>
          <w:b/>
          <w:noProof/>
          <w:sz w:val="24"/>
          <w:szCs w:val="24"/>
          <w:lang w:eastAsia="ja-JP"/>
        </w:rPr>
        <w:t>23</w:t>
      </w:r>
      <w:r w:rsidR="000E6A35">
        <w:rPr>
          <w:rFonts w:ascii="Arial" w:hAnsi="Arial"/>
          <w:b/>
          <w:noProof/>
          <w:sz w:val="24"/>
          <w:szCs w:val="24"/>
          <w:lang w:eastAsia="ja-JP"/>
        </w:rPr>
        <w:t>01</w:t>
      </w:r>
      <w:r w:rsidR="00117FB3">
        <w:rPr>
          <w:rFonts w:ascii="Arial" w:hAnsi="Arial"/>
          <w:b/>
          <w:noProof/>
          <w:sz w:val="24"/>
          <w:szCs w:val="24"/>
          <w:lang w:eastAsia="ja-JP"/>
        </w:rPr>
        <w:t>24</w:t>
      </w:r>
    </w:p>
    <w:p w14:paraId="11C88A41" w14:textId="15B6EC25" w:rsidR="001E489F" w:rsidRPr="007861B8" w:rsidRDefault="002F0AFB"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Taipei</w:t>
      </w:r>
      <w:r w:rsidR="001E489F" w:rsidRPr="007861B8">
        <w:rPr>
          <w:rFonts w:ascii="Arial" w:hAnsi="Arial"/>
          <w:b/>
          <w:noProof/>
          <w:sz w:val="24"/>
          <w:szCs w:val="24"/>
          <w:lang w:eastAsia="ja-JP"/>
        </w:rPr>
        <w:t xml:space="preserve">, </w:t>
      </w:r>
      <w:r>
        <w:rPr>
          <w:rFonts w:ascii="Arial" w:hAnsi="Arial"/>
          <w:b/>
          <w:noProof/>
          <w:sz w:val="24"/>
          <w:szCs w:val="24"/>
          <w:lang w:eastAsia="ja-JP"/>
        </w:rPr>
        <w:t>Taiwan</w:t>
      </w:r>
      <w:r w:rsidR="001E489F" w:rsidRPr="007861B8">
        <w:rPr>
          <w:rFonts w:ascii="Arial" w:hAnsi="Arial"/>
          <w:b/>
          <w:noProof/>
          <w:sz w:val="24"/>
          <w:szCs w:val="24"/>
          <w:lang w:eastAsia="ja-JP"/>
        </w:rPr>
        <w:t xml:space="preserve">, </w:t>
      </w:r>
      <w:r w:rsidRPr="002F0AFB">
        <w:rPr>
          <w:rFonts w:ascii="Arial" w:hAnsi="Arial"/>
          <w:b/>
          <w:noProof/>
          <w:sz w:val="24"/>
          <w:szCs w:val="24"/>
          <w:lang w:eastAsia="ja-JP"/>
        </w:rPr>
        <w:t>June 15th – 16th, 2023</w:t>
      </w:r>
      <w:r w:rsidR="001E489F" w:rsidRPr="006C2E80">
        <w:tab/>
      </w:r>
      <w:r w:rsidR="001E489F" w:rsidRPr="007861B8">
        <w:rPr>
          <w:rFonts w:ascii="Arial" w:eastAsia="Batang" w:hAnsi="Arial" w:cs="Arial"/>
          <w:b/>
          <w:noProof/>
          <w:lang w:eastAsia="zh-CN"/>
        </w:rPr>
        <w:t>(revision of xx-yyxxxx)</w:t>
      </w:r>
    </w:p>
    <w:p w14:paraId="42F75825" w14:textId="77777777" w:rsidR="001E489F" w:rsidRPr="006C2E80" w:rsidRDefault="001E489F" w:rsidP="001E489F">
      <w:pPr>
        <w:pStyle w:val="Guidance"/>
      </w:pPr>
      <w:r w:rsidRPr="006C2E80">
        <w:t>{Guidance text shown in curly brackets, in italics. All guidance text is to be deleted before WID submission.</w:t>
      </w:r>
    </w:p>
    <w:p w14:paraId="25FD68F9" w14:textId="77777777" w:rsidR="001E489F" w:rsidRPr="00251D80" w:rsidRDefault="001E489F" w:rsidP="001E489F">
      <w:pPr>
        <w:pStyle w:val="Guidance"/>
        <w:rPr>
          <w:rFonts w:cs="Arial"/>
          <w:noProof/>
        </w:rPr>
      </w:pPr>
      <w:r>
        <w:t>Note that this form is to be used for all types of Work Item, covering both normative work and/or studies. A Work Item covering only studies is also known as "Study Item", as stated in TR 21.900.</w:t>
      </w:r>
      <w:r w:rsidRPr="00251D80">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6F9032E8"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0E6A35">
        <w:rPr>
          <w:rFonts w:ascii="Arial" w:eastAsia="Batang" w:hAnsi="Arial"/>
          <w:b/>
          <w:sz w:val="24"/>
          <w:szCs w:val="24"/>
          <w:lang w:val="en-US" w:eastAsia="zh-CN"/>
        </w:rPr>
        <w:t>MediaTek Inc.</w:t>
      </w:r>
    </w:p>
    <w:p w14:paraId="49D92DA3" w14:textId="262DBD75"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2F0AFB">
        <w:rPr>
          <w:rFonts w:ascii="Arial" w:eastAsia="Batang" w:hAnsi="Arial" w:cs="Arial"/>
          <w:b/>
          <w:sz w:val="24"/>
          <w:szCs w:val="24"/>
          <w:lang w:eastAsia="zh-CN"/>
        </w:rPr>
        <w:t xml:space="preserve"> SID </w:t>
      </w:r>
      <w:r w:rsidRPr="006C2E80">
        <w:rPr>
          <w:rFonts w:ascii="Arial" w:eastAsia="Batang" w:hAnsi="Arial" w:cs="Arial"/>
          <w:b/>
          <w:sz w:val="24"/>
          <w:szCs w:val="24"/>
          <w:lang w:eastAsia="zh-CN"/>
        </w:rPr>
        <w:t xml:space="preserve">on </w:t>
      </w:r>
      <w:r w:rsidR="002F0AFB">
        <w:rPr>
          <w:rFonts w:ascii="Arial" w:eastAsia="Batang" w:hAnsi="Arial" w:cs="Arial"/>
          <w:b/>
          <w:sz w:val="24"/>
          <w:szCs w:val="24"/>
          <w:lang w:eastAsia="zh-CN"/>
        </w:rPr>
        <w:t>‘</w:t>
      </w:r>
      <w:r w:rsidR="002F0AFB" w:rsidRPr="002F0AFB">
        <w:rPr>
          <w:rFonts w:ascii="Arial" w:eastAsia="Batang" w:hAnsi="Arial" w:cs="Arial"/>
          <w:b/>
          <w:sz w:val="24"/>
          <w:szCs w:val="24"/>
          <w:lang w:eastAsia="zh-CN"/>
        </w:rPr>
        <w:t>Study on a Lean protocol stack</w:t>
      </w:r>
      <w:r w:rsidR="002F0AFB">
        <w:rPr>
          <w:rFonts w:ascii="Arial" w:eastAsia="Batang" w:hAnsi="Arial" w:cs="Arial"/>
          <w:b/>
          <w:sz w:val="24"/>
          <w:szCs w:val="24"/>
          <w:lang w:eastAsia="zh-CN"/>
        </w:rPr>
        <w:t>’</w:t>
      </w:r>
      <w:r w:rsidRPr="006C2E80">
        <w:rPr>
          <w:rFonts w:ascii="Arial" w:eastAsia="Batang" w:hAnsi="Arial" w:cs="Arial"/>
          <w:b/>
          <w:sz w:val="24"/>
          <w:szCs w:val="24"/>
          <w:lang w:eastAsia="zh-CN"/>
        </w:rPr>
        <w:t xml:space="preserve"> </w:t>
      </w:r>
    </w:p>
    <w:p w14:paraId="2BB8AC0B" w14:textId="77777777" w:rsidR="001E489F" w:rsidRPr="006C2E80" w:rsidRDefault="001E489F" w:rsidP="001E489F">
      <w:pPr>
        <w:pStyle w:val="Guidance"/>
      </w:pPr>
      <w:r w:rsidRPr="006C2E80">
        <w:t xml:space="preserve">{"Revised" to be used only for WID already approved at plenary. For Revised WIDs, two versions have to be provided in a zip file: a clean one and one with revision marks showing the differences with the previously plenary-approved WID.} </w:t>
      </w:r>
    </w:p>
    <w:p w14:paraId="66ACF610" w14:textId="43C266E3"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0E6A35">
        <w:rPr>
          <w:rFonts w:ascii="Arial" w:eastAsia="Batang" w:hAnsi="Arial"/>
          <w:b/>
          <w:sz w:val="24"/>
          <w:szCs w:val="24"/>
          <w:lang w:val="en-US" w:eastAsia="zh-CN"/>
        </w:rPr>
        <w:t>Information Only</w:t>
      </w:r>
    </w:p>
    <w:p w14:paraId="1468BC60" w14:textId="6BE411B0"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0E6A35">
        <w:rPr>
          <w:rFonts w:ascii="Arial" w:eastAsia="Batang" w:hAnsi="Arial"/>
          <w:b/>
          <w:sz w:val="24"/>
          <w:szCs w:val="24"/>
          <w:lang w:val="en-US" w:eastAsia="zh-CN"/>
        </w:rPr>
        <w:t>5</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4F04CB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2F0AFB">
        <w:rPr>
          <w:rFonts w:ascii="Arial" w:eastAsia="Times New Roman" w:hAnsi="Arial" w:cs="Times New Roman"/>
          <w:color w:val="auto"/>
          <w:sz w:val="36"/>
          <w:szCs w:val="20"/>
          <w:lang w:eastAsia="ja-JP"/>
        </w:rPr>
        <w:t xml:space="preserve"> </w:t>
      </w:r>
      <w:bookmarkStart w:id="0" w:name="OLE_LINK87"/>
      <w:r w:rsidR="002F0AFB">
        <w:rPr>
          <w:rFonts w:ascii="Arial" w:eastAsia="Times New Roman" w:hAnsi="Arial" w:cs="Times New Roman"/>
          <w:color w:val="auto"/>
          <w:sz w:val="36"/>
          <w:szCs w:val="20"/>
          <w:lang w:eastAsia="ja-JP"/>
        </w:rPr>
        <w:t>Study on a Lean protocol stack</w:t>
      </w:r>
      <w:bookmarkEnd w:id="0"/>
      <w:r w:rsidRPr="001E489F">
        <w:rPr>
          <w:rFonts w:ascii="Arial" w:eastAsia="Times New Roman" w:hAnsi="Arial" w:cs="Times New Roman"/>
          <w:color w:val="auto"/>
          <w:sz w:val="36"/>
          <w:szCs w:val="20"/>
          <w:lang w:eastAsia="ja-JP"/>
        </w:rPr>
        <w:tab/>
      </w:r>
    </w:p>
    <w:p w14:paraId="1845B441" w14:textId="77777777" w:rsidR="001E489F" w:rsidRPr="00BA3A53" w:rsidRDefault="001E489F" w:rsidP="001E489F">
      <w:pPr>
        <w:pStyle w:val="Guidance"/>
      </w:pPr>
      <w:r w:rsidRPr="00251D80">
        <w:t>{Free text. It has to be the same as in the "Title:" section above. Studies have to start by "Study on"}</w:t>
      </w:r>
    </w:p>
    <w:p w14:paraId="4520DCE2" w14:textId="4A5F578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2F0AFB">
        <w:rPr>
          <w:rFonts w:ascii="Arial" w:eastAsia="Times New Roman" w:hAnsi="Arial" w:cs="Times New Roman"/>
          <w:color w:val="auto"/>
          <w:sz w:val="36"/>
          <w:szCs w:val="20"/>
          <w:lang w:eastAsia="ja-JP"/>
        </w:rPr>
        <w:t xml:space="preserve"> FS_NR_LPS</w:t>
      </w:r>
      <w:r w:rsidRPr="001E489F">
        <w:rPr>
          <w:rFonts w:ascii="Arial" w:eastAsia="Times New Roman" w:hAnsi="Arial" w:cs="Times New Roman"/>
          <w:color w:val="auto"/>
          <w:sz w:val="36"/>
          <w:szCs w:val="20"/>
          <w:lang w:eastAsia="ja-JP"/>
        </w:rPr>
        <w:tab/>
      </w:r>
    </w:p>
    <w:p w14:paraId="18C69795" w14:textId="77777777" w:rsidR="001E489F" w:rsidRDefault="001E489F" w:rsidP="001E489F">
      <w:pPr>
        <w:pStyle w:val="Guidance"/>
      </w:pPr>
      <w:r w:rsidRPr="006C2E80">
        <w:t>{Propose an acronym. Final acronym to be confirmed at the plenary. The sign "-" is a level separator between (Feature)-(Building Block)-(Work Task). The sign "_" can be freely used. Studies have to start by "FS_". Each acronym level has to be simple and short, 7 characters max recommended}</w:t>
      </w: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1CC389A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2F0AFB">
        <w:rPr>
          <w:rFonts w:ascii="Arial" w:eastAsia="Times New Roman" w:hAnsi="Arial" w:cs="Times New Roman"/>
          <w:color w:val="auto"/>
          <w:sz w:val="36"/>
          <w:szCs w:val="20"/>
          <w:lang w:eastAsia="ja-JP"/>
        </w:rPr>
        <w:t>19</w:t>
      </w:r>
    </w:p>
    <w:p w14:paraId="0F6B4D92" w14:textId="3174992C" w:rsidR="001E489F" w:rsidRPr="006C2E80" w:rsidRDefault="001E489F" w:rsidP="001E489F">
      <w:pPr>
        <w:pStyle w:val="Guidance"/>
      </w:pPr>
      <w:r>
        <w:t>{</w:t>
      </w:r>
      <w:r w:rsidR="005E32BB" w:rsidRPr="005E32BB">
        <w:t xml:space="preserve"> </w:t>
      </w:r>
      <w:r w:rsidR="005E32BB">
        <w:t xml:space="preserve">Replace XX by the intended Release, e.g. Rel-19.  </w:t>
      </w:r>
      <w:r w:rsidRPr="006C2E80">
        <w:t>Note that this field indicates the proposed Release at the time of submission of the WID to TSG approval. It can later be changed without a need to revise the WID. The updated target Release is indicated in the Work Plan</w:t>
      </w:r>
      <w:r>
        <w:t>}</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14855AB0" w:rsidR="001E489F" w:rsidRDefault="002F0AFB" w:rsidP="005875D6">
            <w:pPr>
              <w:pStyle w:val="TAC"/>
            </w:pPr>
            <w:r>
              <w:t>X</w:t>
            </w:r>
          </w:p>
        </w:tc>
        <w:tc>
          <w:tcPr>
            <w:tcW w:w="850" w:type="dxa"/>
            <w:tcBorders>
              <w:top w:val="nil"/>
            </w:tcBorders>
          </w:tcPr>
          <w:p w14:paraId="04045F0B" w14:textId="5AF4C530" w:rsidR="001E489F" w:rsidRDefault="002F0AFB" w:rsidP="005875D6">
            <w:pPr>
              <w:pStyle w:val="TAC"/>
            </w:pPr>
            <w:r>
              <w:t>X</w:t>
            </w:r>
          </w:p>
        </w:tc>
        <w:tc>
          <w:tcPr>
            <w:tcW w:w="851" w:type="dxa"/>
            <w:tcBorders>
              <w:top w:val="nil"/>
            </w:tcBorders>
          </w:tcPr>
          <w:p w14:paraId="36BEDBE0" w14:textId="77777777" w:rsidR="001E489F" w:rsidRDefault="001E489F" w:rsidP="005875D6">
            <w:pPr>
              <w:pStyle w:val="TAC"/>
            </w:pP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705916F" w:rsidR="001E489F" w:rsidRDefault="002F0AFB"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B3DA590" w:rsidR="001E489F" w:rsidRDefault="002F0AFB" w:rsidP="005875D6">
            <w:pPr>
              <w:pStyle w:val="TAC"/>
            </w:pPr>
            <w:r>
              <w:t>X</w:t>
            </w: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4307EAEA" w:rsidR="007861B8" w:rsidRPr="00C278EB" w:rsidRDefault="001E489F" w:rsidP="00C278EB">
      <w:pPr>
        <w:pStyle w:val="Guidance"/>
      </w:pPr>
      <w:r w:rsidRPr="006C2E80">
        <w:t xml:space="preserve">{Tick one </w:t>
      </w:r>
      <w:r w:rsidR="007861B8">
        <w:t xml:space="preserve">or more </w:t>
      </w:r>
      <w:r w:rsidRPr="006C2E80">
        <w:t>box</w:t>
      </w:r>
      <w:r w:rsidR="007861B8">
        <w:t>(es)</w:t>
      </w:r>
      <w:r w:rsidRPr="006C2E80">
        <w:t xml:space="preserve">. The full structure of all existing Work Items is shown in the 3GPP Work Plan in </w:t>
      </w:r>
      <w:hyperlink r:id="rId11" w:history="1">
        <w:r w:rsidR="00C278EB">
          <w:t>https</w:t>
        </w:r>
        <w:r w:rsidRPr="006C2E80">
          <w:t>://ftp.3gpp.org/Information/WORK_PLAN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D7EAB62" w:rsidR="007861B8" w:rsidRDefault="00F350A5"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1D55ED17" w14:textId="77777777" w:rsidR="001E489F" w:rsidRPr="006C2E80" w:rsidRDefault="001E489F" w:rsidP="001E489F">
      <w:pPr>
        <w:pStyle w:val="Guidance"/>
      </w:pPr>
      <w:r w:rsidRPr="006C2E80">
        <w:t>{"Parent" Work Item refers to the related, earlier-Stage, Work Item, e.g. the related Stage 1 Work Item shall be indicated here when a Stage 2 normative Work Item or Study Item is presented. "Parent" Work Item can also refer to the related preceding Study Item e.g. the related Study Item and the earlier-stage Work Item shall be indicated here when a normative-work Work Items is started. List here all parent Work Items of which requirements are either fully or partially covered by the proposed Item. }</w:t>
      </w:r>
    </w:p>
    <w:p w14:paraId="0475473A" w14:textId="77777777" w:rsidR="001E489F" w:rsidRPr="006C2E80" w:rsidRDefault="001E489F" w:rsidP="001E489F">
      <w:pPr>
        <w:pStyle w:val="Guidance"/>
      </w:pPr>
      <w:r w:rsidRPr="006C2E80">
        <w:t xml:space="preserve">{This section is mandatory to be filled out by the rapporteur. This section is to be filled with care: it indicates to the companies monitoring the parent Work Item that it will be addressed in this study/work item.}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47B134C3" w:rsidR="001E489F" w:rsidRPr="00251D80" w:rsidRDefault="00F350A5" w:rsidP="005875D6">
            <w:pPr>
              <w:pStyle w:val="TAL"/>
            </w:pPr>
            <w:r>
              <w:t>N/A</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7777777" w:rsidR="001E489F" w:rsidRPr="006C2E80" w:rsidRDefault="001E489F" w:rsidP="001E489F">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77777777" w:rsidR="001E489F" w:rsidRPr="006C2E80" w:rsidRDefault="001E489F" w:rsidP="001E489F">
      <w:pPr>
        <w:pStyle w:val="Guidance"/>
      </w:pPr>
      <w:r w:rsidRPr="006C2E80">
        <w:t>{This section is to be typically used to identify the IETF dependencies. Delete the header "Dependency on non-3GPP (draft) specification:" if no such dependency}</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AF1619D" w14:textId="5787640D" w:rsidR="001E489F" w:rsidRDefault="00DC6789" w:rsidP="001E489F">
      <w:pPr>
        <w:pStyle w:val="Guidance"/>
        <w:rPr>
          <w:i w:val="0"/>
          <w:iCs/>
        </w:rPr>
      </w:pPr>
      <w:r>
        <w:rPr>
          <w:i w:val="0"/>
          <w:iCs/>
        </w:rPr>
        <w:t xml:space="preserve">The architecture of the NR protocol stack is largely inherited from the 3G protocol stack, with similar functionality distribution across the layers. </w:t>
      </w:r>
      <w:r w:rsidR="007E48C1">
        <w:rPr>
          <w:i w:val="0"/>
          <w:iCs/>
        </w:rPr>
        <w:t>W</w:t>
      </w:r>
      <w:r>
        <w:rPr>
          <w:i w:val="0"/>
          <w:iCs/>
        </w:rPr>
        <w:t>hen the 3G stack was designed</w:t>
      </w:r>
      <w:r w:rsidR="007E48C1">
        <w:rPr>
          <w:i w:val="0"/>
          <w:iCs/>
        </w:rPr>
        <w:t xml:space="preserve"> in the late 90s</w:t>
      </w:r>
      <w:r>
        <w:rPr>
          <w:i w:val="0"/>
          <w:iCs/>
        </w:rPr>
        <w:t>, mobile communication was a nascent industry and wireless access to the Internet was new. As such, the</w:t>
      </w:r>
      <w:r w:rsidR="00DC77F0">
        <w:rPr>
          <w:i w:val="0"/>
          <w:iCs/>
        </w:rPr>
        <w:t xml:space="preserve"> 3G</w:t>
      </w:r>
      <w:r>
        <w:rPr>
          <w:i w:val="0"/>
          <w:iCs/>
        </w:rPr>
        <w:t xml:space="preserve"> stack design choices were based on its ability to mimic wired Internet </w:t>
      </w:r>
      <w:r w:rsidR="00127187">
        <w:rPr>
          <w:i w:val="0"/>
          <w:iCs/>
        </w:rPr>
        <w:t>access and</w:t>
      </w:r>
      <w:r>
        <w:rPr>
          <w:i w:val="0"/>
          <w:iCs/>
        </w:rPr>
        <w:t xml:space="preserve"> geared towards serving the requirements of its time.</w:t>
      </w:r>
    </w:p>
    <w:p w14:paraId="65D671EA" w14:textId="0E8FAA14" w:rsidR="00DC6789" w:rsidRDefault="00DC6789" w:rsidP="001E489F">
      <w:pPr>
        <w:pStyle w:val="Guidance"/>
        <w:rPr>
          <w:i w:val="0"/>
          <w:iCs/>
        </w:rPr>
      </w:pPr>
      <w:r>
        <w:rPr>
          <w:i w:val="0"/>
          <w:iCs/>
        </w:rPr>
        <w:t xml:space="preserve">Mobile communications has taken off in a very big way, thanks in a large part to the efforts led by 3GPP, and wireless Internet access is now ubiquitous. In the interim decades, we have also seen a big shift in mobile communication requirements. Data rate requirements have changed from 100Kbps to 10Gbps, and corresponding delay requirements have reduced from few seconds to less than 20ms. </w:t>
      </w:r>
      <w:r w:rsidR="00127187">
        <w:rPr>
          <w:i w:val="0"/>
          <w:iCs/>
        </w:rPr>
        <w:t>Services are slowly migrating towards the edge, and to leverage this, w</w:t>
      </w:r>
      <w:r>
        <w:rPr>
          <w:i w:val="0"/>
          <w:iCs/>
        </w:rPr>
        <w:t xml:space="preserve">e are also seeing a shift away from TCP </w:t>
      </w:r>
      <w:r w:rsidR="00127187">
        <w:rPr>
          <w:i w:val="0"/>
          <w:iCs/>
        </w:rPr>
        <w:t>(</w:t>
      </w:r>
      <w:r>
        <w:rPr>
          <w:i w:val="0"/>
          <w:iCs/>
        </w:rPr>
        <w:t>which was the dominant transport protocol at the time</w:t>
      </w:r>
      <w:r w:rsidR="00127187">
        <w:rPr>
          <w:i w:val="0"/>
          <w:iCs/>
        </w:rPr>
        <w:t>)</w:t>
      </w:r>
      <w:r>
        <w:rPr>
          <w:i w:val="0"/>
          <w:iCs/>
        </w:rPr>
        <w:t xml:space="preserve">, to more responsive </w:t>
      </w:r>
      <w:r w:rsidR="00127187">
        <w:rPr>
          <w:i w:val="0"/>
          <w:iCs/>
        </w:rPr>
        <w:t xml:space="preserve">transport </w:t>
      </w:r>
      <w:r>
        <w:rPr>
          <w:i w:val="0"/>
          <w:iCs/>
        </w:rPr>
        <w:t xml:space="preserve">protocols such as </w:t>
      </w:r>
      <w:r w:rsidR="00127187">
        <w:rPr>
          <w:i w:val="0"/>
          <w:iCs/>
        </w:rPr>
        <w:t xml:space="preserve">RTP and QUIC. </w:t>
      </w:r>
    </w:p>
    <w:p w14:paraId="06BA69EE" w14:textId="7636C6FF" w:rsidR="00127187" w:rsidRDefault="00127187" w:rsidP="00127187">
      <w:pPr>
        <w:pStyle w:val="Guidance"/>
        <w:rPr>
          <w:i w:val="0"/>
          <w:iCs/>
        </w:rPr>
      </w:pPr>
      <w:r>
        <w:rPr>
          <w:i w:val="0"/>
          <w:iCs/>
        </w:rPr>
        <w:t>As we enter the 5G-advanced era, we are seeing an increasing need to enhance the stack to match emerging use-cases. Immersive services such as XR introduce</w:t>
      </w:r>
      <w:r w:rsidR="00136B3C">
        <w:rPr>
          <w:i w:val="0"/>
          <w:iCs/>
        </w:rPr>
        <w:t xml:space="preserve"> </w:t>
      </w:r>
      <w:r>
        <w:rPr>
          <w:i w:val="0"/>
          <w:iCs/>
        </w:rPr>
        <w:t>latency-sensitive high-throughput data</w:t>
      </w:r>
      <w:r w:rsidR="00DC77F0">
        <w:rPr>
          <w:i w:val="0"/>
          <w:iCs/>
        </w:rPr>
        <w:t xml:space="preserve"> which, f</w:t>
      </w:r>
      <w:r>
        <w:rPr>
          <w:i w:val="0"/>
          <w:iCs/>
        </w:rPr>
        <w:t>rom TR</w:t>
      </w:r>
      <w:r w:rsidR="000257DB">
        <w:rPr>
          <w:i w:val="0"/>
          <w:iCs/>
        </w:rPr>
        <w:t xml:space="preserve">s </w:t>
      </w:r>
      <w:r>
        <w:rPr>
          <w:i w:val="0"/>
          <w:iCs/>
        </w:rPr>
        <w:t xml:space="preserve">26.928 and 38.838, </w:t>
      </w:r>
      <w:r>
        <w:rPr>
          <w:i w:val="0"/>
          <w:iCs/>
        </w:rPr>
        <w:lastRenderedPageBreak/>
        <w:t>require consistent data rates that can range from 25Mbps to 10Gbps with one-way end-to-end delays ranging from 10 to 20ms</w:t>
      </w:r>
      <w:r w:rsidR="000156BB">
        <w:rPr>
          <w:i w:val="0"/>
          <w:iCs/>
        </w:rPr>
        <w:t xml:space="preserve"> within which a reliability of 10e-6 is to achieved</w:t>
      </w:r>
      <w:r>
        <w:rPr>
          <w:i w:val="0"/>
          <w:iCs/>
        </w:rPr>
        <w:t xml:space="preserve">. </w:t>
      </w:r>
      <w:r w:rsidR="005A6DA1">
        <w:rPr>
          <w:i w:val="0"/>
          <w:iCs/>
        </w:rPr>
        <w:t>Such</w:t>
      </w:r>
      <w:r>
        <w:rPr>
          <w:i w:val="0"/>
          <w:iCs/>
        </w:rPr>
        <w:t xml:space="preserve"> requirements </w:t>
      </w:r>
      <w:r w:rsidR="005A6DA1">
        <w:rPr>
          <w:i w:val="0"/>
          <w:iCs/>
        </w:rPr>
        <w:t xml:space="preserve">of the stack </w:t>
      </w:r>
      <w:r>
        <w:rPr>
          <w:i w:val="0"/>
          <w:iCs/>
        </w:rPr>
        <w:t>will only get more stringent over time, introducing significant complexity and associated processing overhead</w:t>
      </w:r>
      <w:r w:rsidR="005A6DA1">
        <w:rPr>
          <w:i w:val="0"/>
          <w:iCs/>
        </w:rPr>
        <w:t>,</w:t>
      </w:r>
      <w:r>
        <w:rPr>
          <w:i w:val="0"/>
          <w:iCs/>
        </w:rPr>
        <w:t xml:space="preserve"> leading to significant power consumption in the gNB and UE. Therefore, it is important that we take the time to evaluate whether the design choices that we have inherited in the </w:t>
      </w:r>
      <w:r w:rsidR="005257E1">
        <w:rPr>
          <w:i w:val="0"/>
          <w:iCs/>
        </w:rPr>
        <w:t>NR</w:t>
      </w:r>
      <w:r>
        <w:rPr>
          <w:i w:val="0"/>
          <w:iCs/>
        </w:rPr>
        <w:t xml:space="preserve"> stack will continue to </w:t>
      </w:r>
      <w:r w:rsidR="00763A58">
        <w:rPr>
          <w:i w:val="0"/>
          <w:iCs/>
        </w:rPr>
        <w:t xml:space="preserve">serve </w:t>
      </w:r>
      <w:r>
        <w:rPr>
          <w:i w:val="0"/>
          <w:iCs/>
        </w:rPr>
        <w:t>us over the next decade.</w:t>
      </w:r>
    </w:p>
    <w:p w14:paraId="1C0581D3" w14:textId="6A2A3282" w:rsidR="00127187" w:rsidRDefault="00127187" w:rsidP="00127187">
      <w:pPr>
        <w:pStyle w:val="Guidance"/>
        <w:rPr>
          <w:i w:val="0"/>
          <w:iCs/>
        </w:rPr>
      </w:pPr>
      <w:r>
        <w:rPr>
          <w:i w:val="0"/>
          <w:iCs/>
        </w:rPr>
        <w:t>There are three salient areas that need to be part of this evaluation to serve high-throughput latency-sensitive data.</w:t>
      </w:r>
    </w:p>
    <w:p w14:paraId="0182E0AF" w14:textId="02D28A4E" w:rsidR="00127187" w:rsidRDefault="00127187" w:rsidP="00127187">
      <w:pPr>
        <w:numPr>
          <w:ilvl w:val="0"/>
          <w:numId w:val="9"/>
        </w:numPr>
        <w:overflowPunct w:val="0"/>
        <w:autoSpaceDE w:val="0"/>
        <w:autoSpaceDN w:val="0"/>
        <w:adjustRightInd w:val="0"/>
        <w:spacing w:after="180"/>
        <w:rPr>
          <w:lang w:eastAsia="en-GB"/>
        </w:rPr>
      </w:pPr>
      <w:r w:rsidRPr="00127187">
        <w:rPr>
          <w:lang w:eastAsia="en-GB"/>
        </w:rPr>
        <w:t xml:space="preserve">Processing overhead: </w:t>
      </w:r>
      <w:r>
        <w:rPr>
          <w:lang w:eastAsia="en-GB"/>
        </w:rPr>
        <w:t xml:space="preserve">We need to evaluate how the processing requirements of the transmitter and the receiver scales with increasing data rates. In feedback-based data transport mechanisms, the transfer of </w:t>
      </w:r>
      <w:r w:rsidRPr="00AE6468">
        <w:rPr>
          <w:i/>
          <w:iCs/>
          <w:lang w:eastAsia="en-GB"/>
        </w:rPr>
        <w:t>N</w:t>
      </w:r>
      <w:r>
        <w:rPr>
          <w:lang w:eastAsia="en-GB"/>
        </w:rPr>
        <w:t xml:space="preserve"> data packets in one direction typically results in </w:t>
      </w:r>
      <w:r w:rsidRPr="00AE6468">
        <w:rPr>
          <w:i/>
          <w:iCs/>
          <w:lang w:eastAsia="en-GB"/>
        </w:rPr>
        <w:t>N</w:t>
      </w:r>
      <w:r>
        <w:rPr>
          <w:lang w:eastAsia="en-GB"/>
        </w:rPr>
        <w:t xml:space="preserve"> feedback packets in the reverse link. While the data rate requirements on the reverse link may not be high, the processing overhead in the stack associated with this data transfer </w:t>
      </w:r>
      <w:r w:rsidR="00AE6468">
        <w:rPr>
          <w:lang w:eastAsia="en-GB"/>
        </w:rPr>
        <w:t>is</w:t>
      </w:r>
      <w:r>
        <w:rPr>
          <w:lang w:eastAsia="en-GB"/>
        </w:rPr>
        <w:t xml:space="preserve"> non-trivial. </w:t>
      </w:r>
    </w:p>
    <w:p w14:paraId="15A58612" w14:textId="72847A91" w:rsidR="00127187" w:rsidRDefault="00127187" w:rsidP="00127187">
      <w:pPr>
        <w:numPr>
          <w:ilvl w:val="0"/>
          <w:numId w:val="9"/>
        </w:numPr>
        <w:overflowPunct w:val="0"/>
        <w:autoSpaceDE w:val="0"/>
        <w:autoSpaceDN w:val="0"/>
        <w:adjustRightInd w:val="0"/>
        <w:spacing w:after="180"/>
        <w:rPr>
          <w:lang w:eastAsia="en-GB"/>
        </w:rPr>
      </w:pPr>
      <w:r>
        <w:rPr>
          <w:lang w:eastAsia="en-GB"/>
        </w:rPr>
        <w:t xml:space="preserve">Delay performance: </w:t>
      </w:r>
      <w:r w:rsidR="000156BB">
        <w:rPr>
          <w:lang w:eastAsia="en-GB"/>
        </w:rPr>
        <w:t xml:space="preserve">As delay requirements get tighter, there is a need to </w:t>
      </w:r>
      <w:r w:rsidR="00C4223A">
        <w:rPr>
          <w:lang w:eastAsia="en-GB"/>
        </w:rPr>
        <w:t>evaluate</w:t>
      </w:r>
      <w:r w:rsidR="000156BB">
        <w:rPr>
          <w:lang w:eastAsia="en-GB"/>
        </w:rPr>
        <w:t xml:space="preserve"> the responsiveness of the stack. As an example, t</w:t>
      </w:r>
      <w:r>
        <w:rPr>
          <w:lang w:eastAsia="en-GB"/>
        </w:rPr>
        <w:t xml:space="preserve">he scheduling of data on the uplink is typically subject to significant delays. </w:t>
      </w:r>
      <w:r w:rsidR="000156BB">
        <w:rPr>
          <w:lang w:eastAsia="en-GB"/>
        </w:rPr>
        <w:t>D</w:t>
      </w:r>
      <w:r>
        <w:rPr>
          <w:lang w:eastAsia="en-GB"/>
        </w:rPr>
        <w:t>ata transmissions using dynamic grants require at least 2 RTT delays (associated with SR and BSR) before an appropriately sized grant can be provided. Configured grants have been often mentioned as an alternative to dynamic grants to improve delay performance. However, as we start to serve high-throughput latency-sensitive data, configured grants may end up leading to a capacity crunch as it is less efficiently scheduled.</w:t>
      </w:r>
      <w:r w:rsidR="000156BB">
        <w:rPr>
          <w:lang w:eastAsia="en-GB"/>
        </w:rPr>
        <w:t xml:space="preserve"> </w:t>
      </w:r>
    </w:p>
    <w:p w14:paraId="39E5AB62" w14:textId="3C36809F" w:rsidR="00127187" w:rsidRPr="00127187" w:rsidRDefault="00127187" w:rsidP="00127187">
      <w:pPr>
        <w:numPr>
          <w:ilvl w:val="0"/>
          <w:numId w:val="9"/>
        </w:numPr>
        <w:overflowPunct w:val="0"/>
        <w:autoSpaceDE w:val="0"/>
        <w:autoSpaceDN w:val="0"/>
        <w:adjustRightInd w:val="0"/>
        <w:spacing w:after="180"/>
        <w:rPr>
          <w:lang w:eastAsia="en-GB"/>
        </w:rPr>
      </w:pPr>
      <w:r>
        <w:rPr>
          <w:lang w:eastAsia="en-GB"/>
        </w:rPr>
        <w:t xml:space="preserve">Reliability: </w:t>
      </w:r>
      <w:r w:rsidR="000156BB">
        <w:rPr>
          <w:lang w:eastAsia="en-GB"/>
        </w:rPr>
        <w:t>Similarly, we need to evaluate the reliability offered by the stack to serve latency-sensitive data. This includes performance offered by HARQ which has good delay performance but is prone to errors, by ARQ which offers high reliability at the cost of delay and</w:t>
      </w:r>
      <w:r w:rsidR="00C4223A">
        <w:rPr>
          <w:lang w:eastAsia="en-GB"/>
        </w:rPr>
        <w:t xml:space="preserve"> by</w:t>
      </w:r>
      <w:r w:rsidR="000156BB">
        <w:rPr>
          <w:lang w:eastAsia="en-GB"/>
        </w:rPr>
        <w:t xml:space="preserve"> duplication which offers reliability and delay performance at the cost of capacity.</w:t>
      </w:r>
    </w:p>
    <w:p w14:paraId="293AA72B" w14:textId="78F56CC5" w:rsidR="001E489F" w:rsidRPr="006C2E80" w:rsidRDefault="00127187" w:rsidP="001E489F">
      <w:r>
        <w:t xml:space="preserve">As part of this evaluation, we should identify those bottlenecks that exist in the current design of the protocol stack as well as areas that could be improved </w:t>
      </w:r>
      <w:r w:rsidR="00270831">
        <w:t>to</w:t>
      </w:r>
      <w:r>
        <w:t xml:space="preserve"> enable a lean, responsive and energy efficient protocol stack.</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AFD105C" w14:textId="77777777" w:rsidR="00F350A5" w:rsidRPr="00F350A5" w:rsidRDefault="00F350A5" w:rsidP="00F350A5">
      <w:pPr>
        <w:keepNext/>
        <w:keepLines/>
        <w:overflowPunct w:val="0"/>
        <w:autoSpaceDE w:val="0"/>
        <w:autoSpaceDN w:val="0"/>
        <w:adjustRightInd w:val="0"/>
        <w:spacing w:before="120" w:after="180"/>
        <w:ind w:left="1134" w:hanging="1134"/>
        <w:outlineLvl w:val="2"/>
        <w:rPr>
          <w:rFonts w:ascii="Arial" w:hAnsi="Arial"/>
          <w:color w:val="0000FF"/>
          <w:sz w:val="28"/>
          <w:lang w:eastAsia="en-GB"/>
        </w:rPr>
      </w:pPr>
      <w:r w:rsidRPr="00F350A5">
        <w:rPr>
          <w:rFonts w:ascii="Arial" w:hAnsi="Arial"/>
          <w:color w:val="0000FF"/>
          <w:sz w:val="28"/>
          <w:lang w:eastAsia="en-GB"/>
        </w:rPr>
        <w:t>4.1</w:t>
      </w:r>
      <w:r w:rsidRPr="00F350A5">
        <w:rPr>
          <w:rFonts w:ascii="Arial" w:hAnsi="Arial"/>
          <w:color w:val="0000FF"/>
          <w:sz w:val="28"/>
          <w:lang w:eastAsia="en-GB"/>
        </w:rPr>
        <w:tab/>
        <w:t>Objective of SI or Core part WI or Testing part WI</w:t>
      </w:r>
    </w:p>
    <w:p w14:paraId="1F352EF8" w14:textId="1F7733B6" w:rsidR="00F350A5" w:rsidRPr="00F350A5" w:rsidRDefault="00F350A5" w:rsidP="00F350A5">
      <w:pPr>
        <w:overflowPunct w:val="0"/>
        <w:autoSpaceDE w:val="0"/>
        <w:autoSpaceDN w:val="0"/>
        <w:adjustRightInd w:val="0"/>
        <w:spacing w:after="180"/>
        <w:rPr>
          <w:lang w:eastAsia="en-GB"/>
        </w:rPr>
      </w:pPr>
      <w:r w:rsidRPr="00F350A5">
        <w:rPr>
          <w:lang w:eastAsia="en-GB"/>
        </w:rPr>
        <w:t xml:space="preserve">The </w:t>
      </w:r>
      <w:r>
        <w:rPr>
          <w:lang w:eastAsia="en-GB"/>
        </w:rPr>
        <w:t>objectives of the study are as follows:</w:t>
      </w:r>
      <w:r w:rsidRPr="00F350A5">
        <w:rPr>
          <w:lang w:eastAsia="en-GB"/>
        </w:rPr>
        <w:t xml:space="preserve"> </w:t>
      </w:r>
    </w:p>
    <w:p w14:paraId="5657A088" w14:textId="1CD3304E" w:rsidR="00F350A5" w:rsidRPr="00F350A5" w:rsidRDefault="00F350A5" w:rsidP="00F350A5">
      <w:pPr>
        <w:overflowPunct w:val="0"/>
        <w:autoSpaceDE w:val="0"/>
        <w:autoSpaceDN w:val="0"/>
        <w:adjustRightInd w:val="0"/>
        <w:spacing w:after="180"/>
        <w:rPr>
          <w:lang w:eastAsia="en-GB"/>
        </w:rPr>
      </w:pPr>
      <w:r w:rsidRPr="00F350A5">
        <w:rPr>
          <w:lang w:eastAsia="en-GB"/>
        </w:rPr>
        <w:t xml:space="preserve">Objectives on </w:t>
      </w:r>
      <w:r>
        <w:rPr>
          <w:lang w:eastAsia="en-GB"/>
        </w:rPr>
        <w:t>t</w:t>
      </w:r>
      <w:r w:rsidRPr="00F350A5">
        <w:rPr>
          <w:lang w:eastAsia="en-GB"/>
        </w:rPr>
        <w:t>hroughput performance (RAN2):</w:t>
      </w:r>
    </w:p>
    <w:p w14:paraId="5D9B5C01" w14:textId="46D5B2F1" w:rsidR="00DC6789" w:rsidRPr="00DC6789" w:rsidRDefault="00DC6789" w:rsidP="00DC6789">
      <w:pPr>
        <w:numPr>
          <w:ilvl w:val="0"/>
          <w:numId w:val="9"/>
        </w:numPr>
        <w:overflowPunct w:val="0"/>
        <w:autoSpaceDE w:val="0"/>
        <w:autoSpaceDN w:val="0"/>
        <w:adjustRightInd w:val="0"/>
        <w:spacing w:after="180"/>
        <w:rPr>
          <w:lang w:eastAsia="en-GB"/>
        </w:rPr>
      </w:pPr>
      <w:r>
        <w:rPr>
          <w:lang w:eastAsia="en-GB"/>
        </w:rPr>
        <w:t>E</w:t>
      </w:r>
      <w:r w:rsidRPr="00DC6789">
        <w:rPr>
          <w:lang w:eastAsia="en-GB"/>
        </w:rPr>
        <w:t xml:space="preserve">valuate processing overhead and identify gaps within the </w:t>
      </w:r>
      <w:bookmarkStart w:id="1" w:name="OLE_LINK89"/>
      <w:r>
        <w:rPr>
          <w:lang w:eastAsia="en-GB"/>
        </w:rPr>
        <w:t>NR</w:t>
      </w:r>
      <w:r w:rsidRPr="00DC6789">
        <w:rPr>
          <w:lang w:eastAsia="en-GB"/>
        </w:rPr>
        <w:t xml:space="preserve"> </w:t>
      </w:r>
      <w:bookmarkEnd w:id="1"/>
      <w:r w:rsidRPr="00DC6789">
        <w:rPr>
          <w:lang w:eastAsia="en-GB"/>
        </w:rPr>
        <w:t>stack for high-throughput traffic</w:t>
      </w:r>
    </w:p>
    <w:p w14:paraId="2C258501" w14:textId="77777777" w:rsidR="00DC6789" w:rsidRPr="00DC6789" w:rsidRDefault="00DC6789" w:rsidP="00DC6789">
      <w:pPr>
        <w:numPr>
          <w:ilvl w:val="0"/>
          <w:numId w:val="9"/>
        </w:numPr>
        <w:overflowPunct w:val="0"/>
        <w:autoSpaceDE w:val="0"/>
        <w:autoSpaceDN w:val="0"/>
        <w:adjustRightInd w:val="0"/>
        <w:spacing w:after="180"/>
        <w:rPr>
          <w:lang w:eastAsia="en-GB"/>
        </w:rPr>
      </w:pPr>
      <w:r w:rsidRPr="00DC6789">
        <w:rPr>
          <w:lang w:eastAsia="en-GB"/>
        </w:rPr>
        <w:t>Identify areas of improvement needed to enable a lean and energy-efficient stack for high-throughput data transfer</w:t>
      </w:r>
    </w:p>
    <w:p w14:paraId="251560AF" w14:textId="77777777" w:rsidR="00F350A5" w:rsidRPr="00F350A5" w:rsidRDefault="00F350A5" w:rsidP="00F350A5">
      <w:pPr>
        <w:overflowPunct w:val="0"/>
        <w:autoSpaceDE w:val="0"/>
        <w:autoSpaceDN w:val="0"/>
        <w:adjustRightInd w:val="0"/>
        <w:spacing w:after="180"/>
        <w:rPr>
          <w:lang w:eastAsia="en-GB"/>
        </w:rPr>
      </w:pPr>
    </w:p>
    <w:p w14:paraId="402AD179" w14:textId="7210F528" w:rsidR="00F350A5" w:rsidRPr="00F350A5" w:rsidRDefault="00F350A5" w:rsidP="00F350A5">
      <w:pPr>
        <w:overflowPunct w:val="0"/>
        <w:autoSpaceDE w:val="0"/>
        <w:autoSpaceDN w:val="0"/>
        <w:adjustRightInd w:val="0"/>
        <w:spacing w:after="180"/>
        <w:rPr>
          <w:lang w:eastAsia="en-GB"/>
        </w:rPr>
      </w:pPr>
      <w:r w:rsidRPr="00F350A5">
        <w:rPr>
          <w:lang w:eastAsia="en-GB"/>
        </w:rPr>
        <w:t xml:space="preserve">Objectives on </w:t>
      </w:r>
      <w:r>
        <w:rPr>
          <w:lang w:eastAsia="en-GB"/>
        </w:rPr>
        <w:t>d</w:t>
      </w:r>
      <w:r w:rsidRPr="00F350A5">
        <w:rPr>
          <w:lang w:eastAsia="en-GB"/>
        </w:rPr>
        <w:t>elay performance (RAN2):</w:t>
      </w:r>
    </w:p>
    <w:p w14:paraId="75E44FA6" w14:textId="78F60BC7" w:rsidR="00DC6789" w:rsidRPr="00DC6789" w:rsidRDefault="00DC6789" w:rsidP="00DC6789">
      <w:pPr>
        <w:numPr>
          <w:ilvl w:val="0"/>
          <w:numId w:val="9"/>
        </w:numPr>
        <w:overflowPunct w:val="0"/>
        <w:autoSpaceDE w:val="0"/>
        <w:autoSpaceDN w:val="0"/>
        <w:adjustRightInd w:val="0"/>
        <w:spacing w:after="180"/>
        <w:rPr>
          <w:lang w:eastAsia="en-GB"/>
        </w:rPr>
      </w:pPr>
      <w:r w:rsidRPr="00DC6789">
        <w:rPr>
          <w:lang w:eastAsia="en-GB"/>
        </w:rPr>
        <w:t>Evaluate delay performance and identify gaps within the NR stack to serve latency-sensitive traffic</w:t>
      </w:r>
    </w:p>
    <w:p w14:paraId="52D0929B" w14:textId="77777777" w:rsidR="00DC6789" w:rsidRPr="00DC6789" w:rsidRDefault="00DC6789" w:rsidP="00DC6789">
      <w:pPr>
        <w:numPr>
          <w:ilvl w:val="0"/>
          <w:numId w:val="9"/>
        </w:numPr>
        <w:overflowPunct w:val="0"/>
        <w:autoSpaceDE w:val="0"/>
        <w:autoSpaceDN w:val="0"/>
        <w:adjustRightInd w:val="0"/>
        <w:spacing w:after="180"/>
        <w:rPr>
          <w:lang w:eastAsia="en-GB"/>
        </w:rPr>
      </w:pPr>
      <w:r w:rsidRPr="00DC6789">
        <w:rPr>
          <w:lang w:eastAsia="en-GB"/>
        </w:rPr>
        <w:t xml:space="preserve">Identify areas of improvement needed to enable a responsive stack for latency-sensitive data transfer </w:t>
      </w:r>
    </w:p>
    <w:p w14:paraId="22F79429" w14:textId="77777777" w:rsidR="00F350A5" w:rsidRPr="00F350A5" w:rsidRDefault="00F350A5" w:rsidP="00F350A5">
      <w:pPr>
        <w:overflowPunct w:val="0"/>
        <w:autoSpaceDE w:val="0"/>
        <w:autoSpaceDN w:val="0"/>
        <w:adjustRightInd w:val="0"/>
        <w:spacing w:after="180"/>
        <w:rPr>
          <w:lang w:eastAsia="en-GB"/>
        </w:rPr>
      </w:pPr>
    </w:p>
    <w:p w14:paraId="0EFBA165" w14:textId="12E9853A" w:rsidR="00F350A5" w:rsidRPr="00F350A5" w:rsidRDefault="00F350A5" w:rsidP="00F350A5">
      <w:pPr>
        <w:overflowPunct w:val="0"/>
        <w:autoSpaceDE w:val="0"/>
        <w:autoSpaceDN w:val="0"/>
        <w:adjustRightInd w:val="0"/>
        <w:spacing w:after="180"/>
        <w:rPr>
          <w:lang w:eastAsia="en-GB"/>
        </w:rPr>
      </w:pPr>
      <w:r w:rsidRPr="00F350A5">
        <w:rPr>
          <w:lang w:eastAsia="en-GB"/>
        </w:rPr>
        <w:t xml:space="preserve">Objectives on </w:t>
      </w:r>
      <w:r>
        <w:rPr>
          <w:lang w:eastAsia="en-GB"/>
        </w:rPr>
        <w:t>reliability</w:t>
      </w:r>
      <w:r w:rsidRPr="00F350A5">
        <w:rPr>
          <w:lang w:eastAsia="en-GB"/>
        </w:rPr>
        <w:t xml:space="preserve"> (RAN2):</w:t>
      </w:r>
    </w:p>
    <w:p w14:paraId="5A77E6DF" w14:textId="71C5D42A" w:rsidR="00DC6789" w:rsidRPr="00DC6789" w:rsidRDefault="00DC6789" w:rsidP="00DC6789">
      <w:pPr>
        <w:numPr>
          <w:ilvl w:val="0"/>
          <w:numId w:val="9"/>
        </w:numPr>
        <w:overflowPunct w:val="0"/>
        <w:autoSpaceDE w:val="0"/>
        <w:autoSpaceDN w:val="0"/>
        <w:adjustRightInd w:val="0"/>
        <w:spacing w:after="180"/>
        <w:rPr>
          <w:lang w:eastAsia="en-GB"/>
        </w:rPr>
      </w:pPr>
      <w:r w:rsidRPr="00DC6789">
        <w:rPr>
          <w:lang w:eastAsia="en-GB"/>
        </w:rPr>
        <w:t>Evaluate the reliability offered by the NR stack and its gaps to serve high-throughput latency-sensitive traffic</w:t>
      </w:r>
    </w:p>
    <w:p w14:paraId="44E0D4F3" w14:textId="77777777" w:rsidR="00DC6789" w:rsidRPr="00DC6789" w:rsidRDefault="00DC6789" w:rsidP="00DC6789">
      <w:pPr>
        <w:numPr>
          <w:ilvl w:val="0"/>
          <w:numId w:val="9"/>
        </w:numPr>
        <w:overflowPunct w:val="0"/>
        <w:autoSpaceDE w:val="0"/>
        <w:autoSpaceDN w:val="0"/>
        <w:adjustRightInd w:val="0"/>
        <w:spacing w:after="180"/>
        <w:rPr>
          <w:lang w:eastAsia="en-GB"/>
        </w:rPr>
      </w:pPr>
      <w:r w:rsidRPr="00DC6789">
        <w:rPr>
          <w:lang w:eastAsia="en-GB"/>
        </w:rPr>
        <w:t>Identify areas of improvement needed to meet reliability requirements for high-throughput latency-sensitive data transfer</w:t>
      </w:r>
    </w:p>
    <w:p w14:paraId="77218EFA" w14:textId="77777777" w:rsidR="00F350A5" w:rsidRPr="00F350A5" w:rsidRDefault="00F350A5" w:rsidP="00F350A5">
      <w:pPr>
        <w:overflowPunct w:val="0"/>
        <w:autoSpaceDE w:val="0"/>
        <w:autoSpaceDN w:val="0"/>
        <w:adjustRightInd w:val="0"/>
        <w:spacing w:after="180"/>
        <w:ind w:left="1080"/>
        <w:rPr>
          <w:lang w:eastAsia="en-GB"/>
        </w:rPr>
      </w:pPr>
    </w:p>
    <w:p w14:paraId="5D76FFAF" w14:textId="77777777" w:rsidR="00F350A5" w:rsidRPr="00F350A5" w:rsidRDefault="00F350A5" w:rsidP="00F350A5">
      <w:pPr>
        <w:keepNext/>
        <w:keepLines/>
        <w:overflowPunct w:val="0"/>
        <w:autoSpaceDE w:val="0"/>
        <w:autoSpaceDN w:val="0"/>
        <w:adjustRightInd w:val="0"/>
        <w:spacing w:before="120" w:after="180"/>
        <w:ind w:left="1134" w:hanging="1134"/>
        <w:outlineLvl w:val="2"/>
        <w:rPr>
          <w:rFonts w:ascii="Arial" w:hAnsi="Arial"/>
          <w:color w:val="0000FF"/>
          <w:sz w:val="28"/>
          <w:lang w:eastAsia="en-GB"/>
        </w:rPr>
      </w:pPr>
      <w:r w:rsidRPr="00F350A5">
        <w:rPr>
          <w:rFonts w:ascii="Arial" w:hAnsi="Arial"/>
          <w:color w:val="0000FF"/>
          <w:sz w:val="28"/>
          <w:lang w:eastAsia="en-GB"/>
        </w:rPr>
        <w:t>4.2</w:t>
      </w:r>
      <w:r w:rsidRPr="00F350A5">
        <w:rPr>
          <w:rFonts w:ascii="Arial" w:hAnsi="Arial"/>
          <w:color w:val="0000FF"/>
          <w:sz w:val="28"/>
          <w:lang w:eastAsia="en-GB"/>
        </w:rPr>
        <w:tab/>
        <w:t>Objective of Performance part WI</w:t>
      </w:r>
    </w:p>
    <w:p w14:paraId="393BC7F2" w14:textId="77777777" w:rsidR="00F350A5" w:rsidRPr="00F350A5" w:rsidRDefault="00F350A5" w:rsidP="00F350A5">
      <w:pPr>
        <w:keepLines/>
        <w:overflowPunct w:val="0"/>
        <w:autoSpaceDE w:val="0"/>
        <w:autoSpaceDN w:val="0"/>
        <w:adjustRightInd w:val="0"/>
        <w:spacing w:after="180"/>
        <w:ind w:left="1135" w:hanging="851"/>
        <w:rPr>
          <w:color w:val="0000FF"/>
          <w:lang w:eastAsia="en-GB"/>
        </w:rPr>
      </w:pPr>
      <w:r w:rsidRPr="00F350A5">
        <w:rPr>
          <w:color w:val="0000FF"/>
          <w:lang w:eastAsia="en-GB"/>
        </w:rPr>
        <w:t>NOTE:</w:t>
      </w:r>
      <w:r w:rsidRPr="00F350A5">
        <w:rPr>
          <w:color w:val="0000FF"/>
          <w:lang w:eastAsia="en-GB"/>
        </w:rPr>
        <w:tab/>
        <w:t>Leave empty if the WI proposal does not contain a RAN performance part.</w:t>
      </w:r>
    </w:p>
    <w:p w14:paraId="457273EB" w14:textId="77777777" w:rsidR="00F350A5" w:rsidRPr="00F350A5" w:rsidRDefault="00F350A5" w:rsidP="00F350A5">
      <w:pPr>
        <w:overflowPunct w:val="0"/>
        <w:autoSpaceDE w:val="0"/>
        <w:autoSpaceDN w:val="0"/>
        <w:adjustRightInd w:val="0"/>
        <w:rPr>
          <w:lang w:eastAsia="en-GB"/>
        </w:rPr>
      </w:pPr>
    </w:p>
    <w:p w14:paraId="52D5D284" w14:textId="77777777" w:rsidR="00F350A5" w:rsidRPr="00F350A5" w:rsidRDefault="00F350A5" w:rsidP="00F350A5">
      <w:pPr>
        <w:keepNext/>
        <w:keepLines/>
        <w:overflowPunct w:val="0"/>
        <w:autoSpaceDE w:val="0"/>
        <w:autoSpaceDN w:val="0"/>
        <w:adjustRightInd w:val="0"/>
        <w:spacing w:before="120" w:after="180"/>
        <w:ind w:left="1134" w:hanging="1134"/>
        <w:outlineLvl w:val="2"/>
        <w:rPr>
          <w:rFonts w:ascii="Arial" w:hAnsi="Arial"/>
          <w:color w:val="0000FF"/>
          <w:sz w:val="28"/>
          <w:lang w:eastAsia="en-GB"/>
        </w:rPr>
      </w:pPr>
      <w:r w:rsidRPr="00F350A5">
        <w:rPr>
          <w:rFonts w:ascii="Arial" w:hAnsi="Arial"/>
          <w:color w:val="0000FF"/>
          <w:sz w:val="28"/>
          <w:lang w:eastAsia="en-GB"/>
        </w:rPr>
        <w:lastRenderedPageBreak/>
        <w:t>4.3</w:t>
      </w:r>
      <w:r w:rsidRPr="00F350A5">
        <w:rPr>
          <w:rFonts w:ascii="Arial" w:hAnsi="Arial"/>
          <w:color w:val="0000FF"/>
          <w:sz w:val="28"/>
          <w:lang w:eastAsia="en-GB"/>
        </w:rPr>
        <w:tab/>
        <w:t>RAN time budget request (not applicable to RAN5 WIs/SIs)</w:t>
      </w:r>
    </w:p>
    <w:p w14:paraId="6FF9EB1D" w14:textId="77777777" w:rsidR="00F350A5" w:rsidRPr="00F350A5" w:rsidRDefault="00F350A5" w:rsidP="00F350A5">
      <w:pPr>
        <w:keepLines/>
        <w:overflowPunct w:val="0"/>
        <w:autoSpaceDE w:val="0"/>
        <w:autoSpaceDN w:val="0"/>
        <w:adjustRightInd w:val="0"/>
        <w:spacing w:after="180"/>
        <w:ind w:left="1135" w:hanging="851"/>
        <w:rPr>
          <w:color w:val="0000FF"/>
          <w:lang w:eastAsia="en-GB"/>
        </w:rPr>
      </w:pPr>
      <w:r w:rsidRPr="00F350A5">
        <w:rPr>
          <w:color w:val="0000FF"/>
          <w:lang w:eastAsia="en-GB"/>
        </w:rPr>
        <w:t>NOTE:</w:t>
      </w:r>
      <w:r w:rsidRPr="00F350A5">
        <w:rPr>
          <w:color w:val="0000FF"/>
          <w:lang w:eastAsia="en-GB"/>
        </w:rPr>
        <w:tab/>
        <w:t xml:space="preserve">For all </w:t>
      </w:r>
      <w:r w:rsidRPr="00F350A5">
        <w:rPr>
          <w:color w:val="0000FF"/>
          <w:u w:val="single"/>
          <w:lang w:eastAsia="en-GB"/>
        </w:rPr>
        <w:t>new</w:t>
      </w:r>
      <w:r w:rsidRPr="00F350A5">
        <w:rPr>
          <w:color w:val="0000FF"/>
          <w:lang w:eastAsia="en-GB"/>
        </w:rPr>
        <w:t xml:space="preserve"> RAN related WIs/SIs which are </w:t>
      </w:r>
      <w:r w:rsidRPr="00F350A5">
        <w:rPr>
          <w:color w:val="0000FF"/>
          <w:u w:val="single"/>
          <w:lang w:eastAsia="en-GB"/>
        </w:rPr>
        <w:t>not led by RAN WG5</w:t>
      </w:r>
      <w:r w:rsidRPr="00F350A5">
        <w:rPr>
          <w:color w:val="0000FF"/>
          <w:lang w:eastAsia="en-GB"/>
        </w:rPr>
        <w:t xml:space="preserve"> the WI/SI rapporteur has to fill out the attached Excel table to request time budgets for corresponding RAN WG meetings.</w:t>
      </w:r>
      <w:r w:rsidRPr="00F350A5">
        <w:rPr>
          <w:color w:val="0000FF"/>
          <w:lang w:eastAsia="en-GB"/>
        </w:rPr>
        <w:br/>
        <w:t>The Excel table has to be filled out for all affected RAN WGs and up to the target date of the WI/SI.</w:t>
      </w:r>
      <w:r w:rsidRPr="00F350A5">
        <w:rPr>
          <w:color w:val="0000FF"/>
          <w:lang w:eastAsia="en-GB"/>
        </w:rPr>
        <w:br/>
        <w:t>One time unit (TU) corresponds to ~ 2 hours in the meeting.</w:t>
      </w:r>
      <w:r w:rsidRPr="00F350A5">
        <w:rPr>
          <w:color w:val="0000FF"/>
          <w:lang w:eastAsia="en-GB"/>
        </w:rPr>
        <w:br/>
        <w:t>If no TU is needed, then leave the field empty otherwise enter a number &gt;0 in the field.</w:t>
      </w:r>
    </w:p>
    <w:p w14:paraId="61BDBD95" w14:textId="77777777" w:rsidR="00F350A5" w:rsidRPr="00F350A5" w:rsidRDefault="00F350A5" w:rsidP="00F350A5">
      <w:pPr>
        <w:keepLines/>
        <w:overflowPunct w:val="0"/>
        <w:autoSpaceDE w:val="0"/>
        <w:autoSpaceDN w:val="0"/>
        <w:adjustRightInd w:val="0"/>
        <w:spacing w:after="180"/>
        <w:ind w:left="1135" w:hanging="851"/>
        <w:rPr>
          <w:color w:val="0000FF"/>
          <w:lang w:eastAsia="en-GB"/>
        </w:rPr>
      </w:pPr>
      <w:r w:rsidRPr="00F350A5">
        <w:rPr>
          <w:color w:val="0000FF"/>
          <w:lang w:eastAsia="en-GB"/>
        </w:rPr>
        <w:tab/>
        <w:t xml:space="preserve">For </w:t>
      </w:r>
      <w:r w:rsidRPr="00F350A5">
        <w:rPr>
          <w:color w:val="0000FF"/>
          <w:u w:val="single"/>
          <w:lang w:eastAsia="en-GB"/>
        </w:rPr>
        <w:t>revisions</w:t>
      </w:r>
      <w:r w:rsidRPr="00F350A5">
        <w:rPr>
          <w:color w:val="0000FF"/>
          <w:lang w:eastAsia="en-GB"/>
        </w:rPr>
        <w:t xml:space="preserve"> of already approved WI/SI descriptions: Please </w:t>
      </w:r>
      <w:r w:rsidRPr="00F350A5">
        <w:rPr>
          <w:color w:val="0000FF"/>
          <w:u w:val="single"/>
          <w:lang w:eastAsia="en-GB"/>
        </w:rPr>
        <w:t>remove</w:t>
      </w:r>
      <w:r w:rsidRPr="00F350A5">
        <w:rPr>
          <w:color w:val="0000FF"/>
          <w:lang w:eastAsia="en-GB"/>
        </w:rPr>
        <w:t xml:space="preserve"> the Excel table from the WID/SID's zip file. The time budgets are already recorded. If you want to modify them, then this has to be done via the status report and not via a revised WID/SID.</w:t>
      </w:r>
    </w:p>
    <w:p w14:paraId="471ED552" w14:textId="77777777" w:rsidR="00F350A5" w:rsidRPr="00F350A5" w:rsidRDefault="00F350A5" w:rsidP="00F350A5">
      <w:pPr>
        <w:keepLines/>
        <w:overflowPunct w:val="0"/>
        <w:autoSpaceDE w:val="0"/>
        <w:autoSpaceDN w:val="0"/>
        <w:adjustRightInd w:val="0"/>
        <w:spacing w:after="180"/>
        <w:ind w:left="1135" w:hanging="851"/>
        <w:rPr>
          <w:color w:val="0000FF"/>
          <w:lang w:eastAsia="en-GB"/>
        </w:rPr>
      </w:pPr>
      <w:r w:rsidRPr="00F350A5">
        <w:rPr>
          <w:color w:val="0000FF"/>
          <w:lang w:eastAsia="en-GB"/>
        </w:rPr>
        <w:tab/>
        <w:t>If this WID is covering Core and Performance part, then please fill out one line for each part in the attached Excel table.</w:t>
      </w:r>
    </w:p>
    <w:p w14:paraId="04EA7C9D" w14:textId="77777777" w:rsidR="00F350A5" w:rsidRPr="00F350A5" w:rsidRDefault="00F350A5" w:rsidP="00F350A5">
      <w:pPr>
        <w:overflowPunct w:val="0"/>
        <w:autoSpaceDE w:val="0"/>
        <w:autoSpaceDN w:val="0"/>
        <w:adjustRightInd w:val="0"/>
        <w:spacing w:after="180"/>
        <w:ind w:right="-99"/>
        <w:rPr>
          <w:b/>
          <w:bCs/>
          <w:color w:val="0000FF"/>
          <w:lang w:eastAsia="en-GB"/>
        </w:rPr>
      </w:pPr>
      <w:r w:rsidRPr="00F350A5">
        <w:rPr>
          <w:b/>
          <w:bCs/>
          <w:color w:val="0000FF"/>
          <w:lang w:eastAsia="en-GB"/>
        </w:rPr>
        <w:t>additional comments to the time budget request in the attached Excel table:</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0AFF96C0" w:rsidR="001E489F" w:rsidRPr="006C2E80" w:rsidRDefault="00F350A5" w:rsidP="005875D6">
            <w:pPr>
              <w:pStyle w:val="Guidance"/>
              <w:spacing w:after="0"/>
            </w:pPr>
            <w:r>
              <w:t>TR</w:t>
            </w:r>
          </w:p>
        </w:tc>
        <w:tc>
          <w:tcPr>
            <w:tcW w:w="1134" w:type="dxa"/>
          </w:tcPr>
          <w:p w14:paraId="1581EDBA" w14:textId="6059C499" w:rsidR="001E489F" w:rsidRPr="006C2E80" w:rsidRDefault="001E489F" w:rsidP="005875D6">
            <w:pPr>
              <w:pStyle w:val="Guidance"/>
              <w:spacing w:after="0"/>
            </w:pPr>
            <w:r w:rsidRPr="006C2E80">
              <w:t>"</w:t>
            </w:r>
            <w:r w:rsidR="00F350A5">
              <w:t>38</w:t>
            </w:r>
            <w:r w:rsidRPr="006C2E80">
              <w:t>.XXX</w:t>
            </w:r>
            <w:r w:rsidR="00F350A5">
              <w:t>”</w:t>
            </w:r>
          </w:p>
        </w:tc>
        <w:tc>
          <w:tcPr>
            <w:tcW w:w="2409" w:type="dxa"/>
          </w:tcPr>
          <w:p w14:paraId="3489ADFF" w14:textId="77777777" w:rsidR="001E489F" w:rsidRPr="006C2E80" w:rsidRDefault="001E489F" w:rsidP="005875D6">
            <w:pPr>
              <w:pStyle w:val="Guidance"/>
              <w:spacing w:after="0"/>
            </w:pPr>
            <w:r w:rsidRPr="006C2E80">
              <w:t>{Title of the specification (as per TR 21.801 §6.1.1), to be aligned as much as possible with the WI/SI title}</w:t>
            </w:r>
          </w:p>
        </w:tc>
        <w:tc>
          <w:tcPr>
            <w:tcW w:w="993" w:type="dxa"/>
          </w:tcPr>
          <w:p w14:paraId="20E4D6AC" w14:textId="77777777" w:rsidR="001E489F" w:rsidRPr="006C2E80" w:rsidRDefault="001E489F" w:rsidP="005875D6">
            <w:pPr>
              <w:pStyle w:val="Guidance"/>
              <w:spacing w:after="0"/>
            </w:pPr>
            <w:r w:rsidRPr="006C2E80">
              <w:t>{</w:t>
            </w:r>
            <w:r>
              <w:t>e</w:t>
            </w:r>
            <w:r w:rsidRPr="006C2E80">
              <w:t xml:space="preserve">.g. </w:t>
            </w:r>
          </w:p>
          <w:p w14:paraId="060C3F75" w14:textId="77777777" w:rsidR="001E489F" w:rsidRPr="006C2E80" w:rsidRDefault="001E489F" w:rsidP="005875D6">
            <w:pPr>
              <w:pStyle w:val="Guidance"/>
              <w:spacing w:after="0"/>
            </w:pPr>
            <w:r w:rsidRPr="006C2E80">
              <w:t>"TSG#87"}</w:t>
            </w:r>
          </w:p>
        </w:tc>
        <w:tc>
          <w:tcPr>
            <w:tcW w:w="1074" w:type="dxa"/>
          </w:tcPr>
          <w:p w14:paraId="1EEB1D1C" w14:textId="77777777" w:rsidR="001E489F" w:rsidRPr="006C2E80" w:rsidRDefault="001E489F" w:rsidP="005875D6">
            <w:pPr>
              <w:pStyle w:val="Guidance"/>
              <w:spacing w:after="0"/>
            </w:pPr>
            <w:r w:rsidRPr="006C2E80">
              <w:t>{</w:t>
            </w:r>
            <w:r>
              <w:t>e</w:t>
            </w:r>
            <w:r w:rsidRPr="006C2E80">
              <w:t xml:space="preserve">.g. </w:t>
            </w:r>
          </w:p>
          <w:p w14:paraId="3CC87817" w14:textId="77777777" w:rsidR="001E489F" w:rsidRPr="006C2E80" w:rsidRDefault="001E489F" w:rsidP="005875D6">
            <w:pPr>
              <w:pStyle w:val="Guidance"/>
              <w:spacing w:after="0"/>
            </w:pPr>
            <w:r w:rsidRPr="006C2E80">
              <w:t>"TSG#89"}</w:t>
            </w:r>
          </w:p>
        </w:tc>
        <w:tc>
          <w:tcPr>
            <w:tcW w:w="2186" w:type="dxa"/>
          </w:tcPr>
          <w:p w14:paraId="71B3D7AE" w14:textId="77777777" w:rsidR="001E489F" w:rsidRPr="006C2E80" w:rsidRDefault="001E489F" w:rsidP="005875D6">
            <w:pPr>
              <w:pStyle w:val="Guidance"/>
              <w:spacing w:after="0"/>
            </w:pPr>
            <w:r w:rsidRPr="006C2E80">
              <w:t>{&lt;FamilyName&gt;, &lt;GivenName&gt;, &lt;Company&gt;, &lt;email address&gt;. See Note 2}</w:t>
            </w:r>
          </w:p>
        </w:tc>
      </w:tr>
      <w:tr w:rsidR="001E489F" w:rsidRPr="00251D80" w14:paraId="32944FCA" w14:textId="77777777" w:rsidTr="00C76B49">
        <w:trPr>
          <w:cantSplit/>
          <w:jc w:val="center"/>
        </w:trPr>
        <w:tc>
          <w:tcPr>
            <w:tcW w:w="1617" w:type="dxa"/>
          </w:tcPr>
          <w:p w14:paraId="36EA8E77" w14:textId="31A03395" w:rsidR="001E489F" w:rsidRPr="00FF3F0C" w:rsidRDefault="00C76B49" w:rsidP="005875D6">
            <w:pPr>
              <w:pStyle w:val="TAL"/>
            </w:pPr>
            <w:r>
              <w:t>TR</w:t>
            </w:r>
          </w:p>
        </w:tc>
        <w:tc>
          <w:tcPr>
            <w:tcW w:w="1134" w:type="dxa"/>
          </w:tcPr>
          <w:p w14:paraId="5F684E95" w14:textId="39D3B5FD" w:rsidR="001E489F" w:rsidRPr="00251D80" w:rsidRDefault="00C76B49" w:rsidP="005875D6">
            <w:pPr>
              <w:pStyle w:val="TAL"/>
            </w:pPr>
            <w:r>
              <w:t>38.</w:t>
            </w:r>
            <w:r w:rsidRPr="00C76B49">
              <w:rPr>
                <w:highlight w:val="yellow"/>
              </w:rPr>
              <w:t>nnn</w:t>
            </w:r>
          </w:p>
        </w:tc>
        <w:tc>
          <w:tcPr>
            <w:tcW w:w="2409" w:type="dxa"/>
            <w:shd w:val="clear" w:color="auto" w:fill="FFFF00"/>
          </w:tcPr>
          <w:p w14:paraId="3F9BA4C9" w14:textId="4A833742" w:rsidR="001E489F" w:rsidRPr="00251D80" w:rsidRDefault="00C76B49" w:rsidP="005875D6">
            <w:pPr>
              <w:pStyle w:val="TAL"/>
            </w:pPr>
            <w:r>
              <w:t>Study on Lean Protocol Stack</w:t>
            </w:r>
          </w:p>
        </w:tc>
        <w:tc>
          <w:tcPr>
            <w:tcW w:w="993" w:type="dxa"/>
          </w:tcPr>
          <w:p w14:paraId="510D9A1F" w14:textId="4A3252D1" w:rsidR="001E489F" w:rsidRPr="00251D80" w:rsidRDefault="00C76B49" w:rsidP="005875D6">
            <w:pPr>
              <w:pStyle w:val="TAL"/>
            </w:pPr>
            <w:r>
              <w:t>TSG#107</w:t>
            </w:r>
          </w:p>
        </w:tc>
        <w:tc>
          <w:tcPr>
            <w:tcW w:w="1074" w:type="dxa"/>
          </w:tcPr>
          <w:p w14:paraId="11DE6EB5" w14:textId="0F1FB1D7" w:rsidR="001E489F" w:rsidRPr="00251D80" w:rsidRDefault="00C76B49" w:rsidP="005875D6">
            <w:pPr>
              <w:pStyle w:val="TAL"/>
            </w:pPr>
            <w:r>
              <w:t>TSG#109</w:t>
            </w:r>
          </w:p>
        </w:tc>
        <w:tc>
          <w:tcPr>
            <w:tcW w:w="2186" w:type="dxa"/>
            <w:shd w:val="clear" w:color="auto" w:fill="FFFF00"/>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02952F1F" w14:textId="77777777" w:rsidR="001E489F" w:rsidRPr="006C2E80" w:rsidRDefault="001E489F" w:rsidP="007861B8">
      <w:pPr>
        <w:pStyle w:val="Guidance"/>
      </w:pPr>
      <w:r w:rsidRPr="006C2E80">
        <w:t>{Note 1:</w:t>
      </w:r>
      <w:r>
        <w:tab/>
      </w:r>
      <w:r w:rsidRPr="006C2E80">
        <w:t>Only TSs may contain normative provisions. Study Items shall create or impact only TRs.</w:t>
      </w:r>
      <w:r w:rsidRPr="006C2E80">
        <w:br/>
        <w:t>"Internal TR" is intended for 3GPP internal use only whereas "External TR" may be transposed by OPs.}</w:t>
      </w:r>
    </w:p>
    <w:p w14:paraId="303D6525" w14:textId="77777777" w:rsidR="001E489F" w:rsidRPr="006C2E80" w:rsidRDefault="001E489F" w:rsidP="007861B8">
      <w:pPr>
        <w:pStyle w:val="Guidance"/>
      </w:pPr>
      <w:r w:rsidRPr="006C2E80">
        <w:t>{Note 2</w:t>
      </w:r>
      <w:r>
        <w:t>:</w:t>
      </w:r>
      <w:r>
        <w:tab/>
      </w:r>
      <w:r w:rsidRPr="006C2E80">
        <w:t>The first listed Rapporteur is the specification primary Rapporteur. Secondary Rapporteur(s) are possible for particular aspect(s) of the TS/TR. In this case, their responsibility has to be provided as "Remarks".}</w:t>
      </w:r>
    </w:p>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77777777" w:rsidR="001E489F" w:rsidRPr="00C76B49" w:rsidRDefault="001E489F" w:rsidP="001E489F">
      <w:pPr>
        <w:pStyle w:val="Guidance"/>
        <w:rPr>
          <w:highlight w:val="yellow"/>
        </w:rPr>
      </w:pPr>
      <w:r w:rsidRPr="00C76B49">
        <w:rPr>
          <w:highlight w:val="yellow"/>
        </w:rPr>
        <w:t>{Mandatory: &lt;FamilyName&gt;, &lt;GivenName&gt;, &lt;Company&gt;, &lt;email address&gt;}</w:t>
      </w:r>
    </w:p>
    <w:p w14:paraId="2711CDE1" w14:textId="77777777" w:rsidR="001E489F" w:rsidRPr="006C2E80" w:rsidRDefault="001E489F" w:rsidP="001E489F">
      <w:pPr>
        <w:pStyle w:val="Guidance"/>
      </w:pPr>
      <w:r w:rsidRPr="00C76B49">
        <w:rPr>
          <w:highlight w:val="yellow"/>
        </w:rPr>
        <w:t>{Optional: &lt;FamilyName&gt;, &lt;GivenName&gt;, &lt;Company&gt;, &lt;email address&gt;: Secondary task(s)}</w:t>
      </w:r>
    </w:p>
    <w:p w14:paraId="7113F0E0" w14:textId="77777777" w:rsidR="001E489F" w:rsidRDefault="001E489F" w:rsidP="001E489F">
      <w:pPr>
        <w:pStyle w:val="Guidance"/>
      </w:pPr>
      <w:r w:rsidRPr="006C2E80">
        <w:t xml:space="preserve">{The first listed Rapporteur is the work item primary Rapporteur. The role of a Rapporteur is further described in </w:t>
      </w:r>
      <w:hyperlink r:id="rId12" w:history="1">
        <w:r w:rsidRPr="006C2E80">
          <w:t>www.3gpp.org/specifications-groups/delegates-corner/writing-a-new-spec</w:t>
        </w:r>
      </w:hyperlink>
      <w:r w:rsidRPr="006C2E80">
        <w:t xml:space="preserve">. By default, the primary Rapporteur shall ensure the production of the post-completion summary. </w:t>
      </w:r>
      <w:r w:rsidRPr="006C2E80">
        <w:br/>
        <w:t>Secondary Rapporteur(s) are possible for specific secondary task(s), such as: "Write the post-completion summary"; "In charge of a specific aspect of the work item (specify which)"; "Rapporteur for a secondary responsible WG (specify which)"}</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7AA4A78E" w:rsidR="001E489F" w:rsidRPr="00F350A5" w:rsidRDefault="00F350A5" w:rsidP="00F350A5">
      <w:r w:rsidRPr="00F350A5">
        <w:t>Primary WG: RAN2</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t>Aspects that involve other WGs</w:t>
      </w:r>
    </w:p>
    <w:p w14:paraId="791D541F" w14:textId="77777777" w:rsidR="001E489F" w:rsidRPr="006C2E80" w:rsidRDefault="001E489F" w:rsidP="001E489F">
      <w:pPr>
        <w:pStyle w:val="Guidance"/>
      </w:pPr>
      <w:r w:rsidRPr="006C2E80">
        <w:t>{This information is provided as best effort assumption, at the time of submission of the WID to TSG approval. It can be later changed without a need to revise the WID.</w:t>
      </w:r>
    </w:p>
    <w:p w14:paraId="753125F1" w14:textId="415F1E69" w:rsidR="001E489F" w:rsidRDefault="001E489F" w:rsidP="001E489F">
      <w:pPr>
        <w:pStyle w:val="Guidance"/>
      </w:pPr>
      <w:r w:rsidRPr="006C2E80">
        <w:t>The “aspects” can be provided by topic (e.g. “security”, “multimedia”) and/or by specifying the WG(s) e.g.: "SA2, SA3, SA5, SA6. CT6 for storage, and potentially SA4". If not applicable, indicate "None" or "None identified yet"}</w:t>
      </w:r>
    </w:p>
    <w:p w14:paraId="791E7B3B" w14:textId="4F815613" w:rsidR="007861B8" w:rsidRPr="0072294E" w:rsidRDefault="007861B8" w:rsidP="001E489F">
      <w:pPr>
        <w:pStyle w:val="Guidance"/>
      </w:pPr>
      <w:r w:rsidRPr="006A32D1">
        <w:rPr>
          <w:i w:val="0"/>
          <w:iCs/>
        </w:rPr>
        <w:t xml:space="preserve">For a Stage 2 WID requiring Stage 3 to be done by another group: on a best-effort basis, indicate which </w:t>
      </w:r>
      <w:r w:rsidR="00B63284">
        <w:rPr>
          <w:i w:val="0"/>
          <w:iCs/>
        </w:rPr>
        <w:t xml:space="preserve">potential </w:t>
      </w:r>
      <w:r w:rsidRPr="006A32D1">
        <w:rPr>
          <w:i w:val="0"/>
          <w:iCs/>
        </w:rPr>
        <w:t>WG is expected to specify the Stage 3:</w:t>
      </w:r>
      <w:r w:rsidRPr="007861B8">
        <w:t xml:space="preserve"> {possible values: "Not applicable", " unknown", "CT WGs", etc}</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C76B49">
        <w:trPr>
          <w:cantSplit/>
          <w:jc w:val="center"/>
        </w:trPr>
        <w:tc>
          <w:tcPr>
            <w:tcW w:w="5029" w:type="dxa"/>
            <w:shd w:val="clear" w:color="auto" w:fill="FFFF00"/>
          </w:tcPr>
          <w:p w14:paraId="5F41A52D" w14:textId="77777777" w:rsidR="001E489F" w:rsidRDefault="001E489F" w:rsidP="005875D6">
            <w:pPr>
              <w:pStyle w:val="TAL"/>
            </w:pPr>
          </w:p>
        </w:tc>
      </w:tr>
      <w:tr w:rsidR="001E489F" w14:paraId="2C5796E3" w14:textId="77777777" w:rsidTr="00C76B49">
        <w:trPr>
          <w:cantSplit/>
          <w:jc w:val="center"/>
        </w:trPr>
        <w:tc>
          <w:tcPr>
            <w:tcW w:w="5029" w:type="dxa"/>
            <w:shd w:val="clear" w:color="auto" w:fill="FFFF00"/>
          </w:tcPr>
          <w:p w14:paraId="3ABE29D5" w14:textId="77777777" w:rsidR="001E489F" w:rsidRDefault="001E489F" w:rsidP="005875D6">
            <w:pPr>
              <w:pStyle w:val="TAL"/>
            </w:pPr>
          </w:p>
        </w:tc>
      </w:tr>
      <w:tr w:rsidR="001E489F" w14:paraId="5425D30D" w14:textId="77777777" w:rsidTr="00C76B49">
        <w:trPr>
          <w:cantSplit/>
          <w:jc w:val="center"/>
        </w:trPr>
        <w:tc>
          <w:tcPr>
            <w:tcW w:w="5029" w:type="dxa"/>
            <w:shd w:val="clear" w:color="auto" w:fill="FFFF00"/>
          </w:tcPr>
          <w:p w14:paraId="37445962" w14:textId="77777777" w:rsidR="001E489F" w:rsidRDefault="001E489F" w:rsidP="005875D6">
            <w:pPr>
              <w:pStyle w:val="TAL"/>
            </w:pPr>
          </w:p>
        </w:tc>
      </w:tr>
      <w:tr w:rsidR="001E489F" w14:paraId="0E49C138" w14:textId="77777777" w:rsidTr="00C76B49">
        <w:trPr>
          <w:cantSplit/>
          <w:jc w:val="center"/>
        </w:trPr>
        <w:tc>
          <w:tcPr>
            <w:tcW w:w="5029" w:type="dxa"/>
            <w:shd w:val="clear" w:color="auto" w:fill="FFFF00"/>
          </w:tcPr>
          <w:p w14:paraId="4A1E7A61" w14:textId="77777777" w:rsidR="001E489F" w:rsidRDefault="001E489F" w:rsidP="005875D6">
            <w:pPr>
              <w:pStyle w:val="TAL"/>
            </w:pPr>
          </w:p>
        </w:tc>
      </w:tr>
      <w:tr w:rsidR="001E489F" w14:paraId="3EDE7FDD" w14:textId="77777777" w:rsidTr="00C76B49">
        <w:trPr>
          <w:cantSplit/>
          <w:jc w:val="center"/>
        </w:trPr>
        <w:tc>
          <w:tcPr>
            <w:tcW w:w="5029" w:type="dxa"/>
            <w:shd w:val="clear" w:color="auto" w:fill="FFFF00"/>
          </w:tcPr>
          <w:p w14:paraId="3E863CFD" w14:textId="77777777" w:rsidR="001E489F" w:rsidRDefault="001E489F" w:rsidP="005875D6">
            <w:pPr>
              <w:pStyle w:val="TAL"/>
            </w:pPr>
          </w:p>
        </w:tc>
      </w:tr>
      <w:tr w:rsidR="001E489F" w14:paraId="30A479CE" w14:textId="77777777" w:rsidTr="00C76B49">
        <w:trPr>
          <w:cantSplit/>
          <w:jc w:val="center"/>
        </w:trPr>
        <w:tc>
          <w:tcPr>
            <w:tcW w:w="5029" w:type="dxa"/>
            <w:shd w:val="clear" w:color="auto" w:fill="FFFF00"/>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1CED7" w14:textId="77777777" w:rsidR="00092724" w:rsidRDefault="00092724">
      <w:r>
        <w:separator/>
      </w:r>
    </w:p>
  </w:endnote>
  <w:endnote w:type="continuationSeparator" w:id="0">
    <w:p w14:paraId="50E18129" w14:textId="77777777" w:rsidR="00092724" w:rsidRDefault="00092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15B0C3" w14:textId="77777777" w:rsidR="00092724" w:rsidRDefault="00092724">
      <w:r>
        <w:separator/>
      </w:r>
    </w:p>
  </w:footnote>
  <w:footnote w:type="continuationSeparator" w:id="0">
    <w:p w14:paraId="6C9FCF90" w14:textId="77777777" w:rsidR="00092724" w:rsidRDefault="000927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56BB"/>
    <w:rsid w:val="0002191A"/>
    <w:rsid w:val="000257DB"/>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2724"/>
    <w:rsid w:val="00094F23"/>
    <w:rsid w:val="000967F4"/>
    <w:rsid w:val="000A6432"/>
    <w:rsid w:val="000D6D78"/>
    <w:rsid w:val="000E0429"/>
    <w:rsid w:val="000E0437"/>
    <w:rsid w:val="000E6A35"/>
    <w:rsid w:val="000F6E51"/>
    <w:rsid w:val="001006A8"/>
    <w:rsid w:val="00102A24"/>
    <w:rsid w:val="00117FB3"/>
    <w:rsid w:val="001244C2"/>
    <w:rsid w:val="00127187"/>
    <w:rsid w:val="0013259C"/>
    <w:rsid w:val="00135831"/>
    <w:rsid w:val="00136B3C"/>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C7ADE"/>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0831"/>
    <w:rsid w:val="00272D61"/>
    <w:rsid w:val="002770EE"/>
    <w:rsid w:val="002919B7"/>
    <w:rsid w:val="00291EF2"/>
    <w:rsid w:val="00295D61"/>
    <w:rsid w:val="00297C1F"/>
    <w:rsid w:val="002B074C"/>
    <w:rsid w:val="002B2FE7"/>
    <w:rsid w:val="002B34EA"/>
    <w:rsid w:val="002B5361"/>
    <w:rsid w:val="002C1BA4"/>
    <w:rsid w:val="002C47B8"/>
    <w:rsid w:val="002E397B"/>
    <w:rsid w:val="002E3AE2"/>
    <w:rsid w:val="002F0AFB"/>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C63BD"/>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257E1"/>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A6DA1"/>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4442D"/>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3A58"/>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E48C1"/>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E646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23A"/>
    <w:rsid w:val="00C42344"/>
    <w:rsid w:val="00C505EB"/>
    <w:rsid w:val="00C52914"/>
    <w:rsid w:val="00C5567D"/>
    <w:rsid w:val="00C63F06"/>
    <w:rsid w:val="00C6590B"/>
    <w:rsid w:val="00C65E96"/>
    <w:rsid w:val="00C7131F"/>
    <w:rsid w:val="00C76753"/>
    <w:rsid w:val="00C76B49"/>
    <w:rsid w:val="00C8586A"/>
    <w:rsid w:val="00CA2B4F"/>
    <w:rsid w:val="00CA5DB0"/>
    <w:rsid w:val="00CC084E"/>
    <w:rsid w:val="00CC58ED"/>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C6789"/>
    <w:rsid w:val="00DC77F0"/>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50A5"/>
    <w:rsid w:val="00F378BE"/>
    <w:rsid w:val="00F43120"/>
    <w:rsid w:val="00F44C09"/>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7740429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8776365">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3654381">
      <w:bodyDiv w:val="1"/>
      <w:marLeft w:val="0"/>
      <w:marRight w:val="0"/>
      <w:marTop w:val="0"/>
      <w:marBottom w:val="0"/>
      <w:divBdr>
        <w:top w:val="none" w:sz="0" w:space="0" w:color="auto"/>
        <w:left w:val="none" w:sz="0" w:space="0" w:color="auto"/>
        <w:bottom w:val="none" w:sz="0" w:space="0" w:color="auto"/>
        <w:right w:val="none" w:sz="0" w:space="0" w:color="auto"/>
      </w:divBdr>
      <w:divsChild>
        <w:div w:id="1034884143">
          <w:marLeft w:val="274"/>
          <w:marRight w:val="0"/>
          <w:marTop w:val="0"/>
          <w:marBottom w:val="0"/>
          <w:divBdr>
            <w:top w:val="none" w:sz="0" w:space="0" w:color="auto"/>
            <w:left w:val="none" w:sz="0" w:space="0" w:color="auto"/>
            <w:bottom w:val="none" w:sz="0" w:space="0" w:color="auto"/>
            <w:right w:val="none" w:sz="0" w:space="0" w:color="auto"/>
          </w:divBdr>
        </w:div>
        <w:div w:id="1297024968">
          <w:marLeft w:val="274"/>
          <w:marRight w:val="0"/>
          <w:marTop w:val="0"/>
          <w:marBottom w:val="0"/>
          <w:divBdr>
            <w:top w:val="none" w:sz="0" w:space="0" w:color="auto"/>
            <w:left w:val="none" w:sz="0" w:space="0" w:color="auto"/>
            <w:bottom w:val="none" w:sz="0" w:space="0" w:color="auto"/>
            <w:right w:val="none" w:sz="0" w:space="0" w:color="auto"/>
          </w:divBdr>
        </w:div>
        <w:div w:id="162013849">
          <w:marLeft w:val="274"/>
          <w:marRight w:val="0"/>
          <w:marTop w:val="0"/>
          <w:marBottom w:val="0"/>
          <w:divBdr>
            <w:top w:val="none" w:sz="0" w:space="0" w:color="auto"/>
            <w:left w:val="none" w:sz="0" w:space="0" w:color="auto"/>
            <w:bottom w:val="none" w:sz="0" w:space="0" w:color="auto"/>
            <w:right w:val="none" w:sz="0" w:space="0" w:color="auto"/>
          </w:divBdr>
        </w:div>
        <w:div w:id="551617930">
          <w:marLeft w:val="274"/>
          <w:marRight w:val="0"/>
          <w:marTop w:val="0"/>
          <w:marBottom w:val="0"/>
          <w:divBdr>
            <w:top w:val="none" w:sz="0" w:space="0" w:color="auto"/>
            <w:left w:val="none" w:sz="0" w:space="0" w:color="auto"/>
            <w:bottom w:val="none" w:sz="0" w:space="0" w:color="auto"/>
            <w:right w:val="none" w:sz="0" w:space="0" w:color="auto"/>
          </w:divBdr>
        </w:div>
        <w:div w:id="1846050422">
          <w:marLeft w:val="274"/>
          <w:marRight w:val="0"/>
          <w:marTop w:val="0"/>
          <w:marBottom w:val="0"/>
          <w:divBdr>
            <w:top w:val="none" w:sz="0" w:space="0" w:color="auto"/>
            <w:left w:val="none" w:sz="0" w:space="0" w:color="auto"/>
            <w:bottom w:val="none" w:sz="0" w:space="0" w:color="auto"/>
            <w:right w:val="none" w:sz="0" w:space="0" w:color="auto"/>
          </w:divBdr>
        </w:div>
        <w:div w:id="1847398831">
          <w:marLeft w:val="274"/>
          <w:marRight w:val="0"/>
          <w:marTop w:val="0"/>
          <w:marBottom w:val="0"/>
          <w:divBdr>
            <w:top w:val="none" w:sz="0" w:space="0" w:color="auto"/>
            <w:left w:val="none" w:sz="0" w:space="0" w:color="auto"/>
            <w:bottom w:val="none" w:sz="0" w:space="0" w:color="auto"/>
            <w:right w:val="none" w:sz="0" w:space="0" w:color="auto"/>
          </w:divBdr>
        </w:div>
      </w:divsChild>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5982116">
      <w:bodyDiv w:val="1"/>
      <w:marLeft w:val="0"/>
      <w:marRight w:val="0"/>
      <w:marTop w:val="0"/>
      <w:marBottom w:val="0"/>
      <w:divBdr>
        <w:top w:val="none" w:sz="0" w:space="0" w:color="auto"/>
        <w:left w:val="none" w:sz="0" w:space="0" w:color="auto"/>
        <w:bottom w:val="none" w:sz="0" w:space="0" w:color="auto"/>
        <w:right w:val="none" w:sz="0" w:space="0" w:color="auto"/>
      </w:divBdr>
      <w:divsChild>
        <w:div w:id="1580212976">
          <w:marLeft w:val="274"/>
          <w:marRight w:val="0"/>
          <w:marTop w:val="0"/>
          <w:marBottom w:val="0"/>
          <w:divBdr>
            <w:top w:val="none" w:sz="0" w:space="0" w:color="auto"/>
            <w:left w:val="none" w:sz="0" w:space="0" w:color="auto"/>
            <w:bottom w:val="none" w:sz="0" w:space="0" w:color="auto"/>
            <w:right w:val="none" w:sz="0" w:space="0" w:color="auto"/>
          </w:divBdr>
        </w:div>
        <w:div w:id="1940020039">
          <w:marLeft w:val="274"/>
          <w:marRight w:val="0"/>
          <w:marTop w:val="0"/>
          <w:marBottom w:val="0"/>
          <w:divBdr>
            <w:top w:val="none" w:sz="0" w:space="0" w:color="auto"/>
            <w:left w:val="none" w:sz="0" w:space="0" w:color="auto"/>
            <w:bottom w:val="none" w:sz="0" w:space="0" w:color="auto"/>
            <w:right w:val="none" w:sz="0" w:space="0" w:color="auto"/>
          </w:divBdr>
        </w:div>
      </w:divsChild>
    </w:div>
    <w:div w:id="1690259766">
      <w:bodyDiv w:val="1"/>
      <w:marLeft w:val="0"/>
      <w:marRight w:val="0"/>
      <w:marTop w:val="0"/>
      <w:marBottom w:val="0"/>
      <w:divBdr>
        <w:top w:val="none" w:sz="0" w:space="0" w:color="auto"/>
        <w:left w:val="none" w:sz="0" w:space="0" w:color="auto"/>
        <w:bottom w:val="none" w:sz="0" w:space="0" w:color="auto"/>
        <w:right w:val="none" w:sz="0" w:space="0" w:color="auto"/>
      </w:divBdr>
      <w:divsChild>
        <w:div w:id="2027560498">
          <w:marLeft w:val="274"/>
          <w:marRight w:val="0"/>
          <w:marTop w:val="0"/>
          <w:marBottom w:val="0"/>
          <w:divBdr>
            <w:top w:val="none" w:sz="0" w:space="0" w:color="auto"/>
            <w:left w:val="none" w:sz="0" w:space="0" w:color="auto"/>
            <w:bottom w:val="none" w:sz="0" w:space="0" w:color="auto"/>
            <w:right w:val="none" w:sz="0" w:space="0" w:color="auto"/>
          </w:divBdr>
        </w:div>
        <w:div w:id="1062101845">
          <w:marLeft w:val="274"/>
          <w:marRight w:val="0"/>
          <w:marTop w:val="0"/>
          <w:marBottom w:val="0"/>
          <w:divBdr>
            <w:top w:val="none" w:sz="0" w:space="0" w:color="auto"/>
            <w:left w:val="none" w:sz="0" w:space="0" w:color="auto"/>
            <w:bottom w:val="none" w:sz="0" w:space="0" w:color="auto"/>
            <w:right w:val="none" w:sz="0" w:space="0" w:color="auto"/>
          </w:divBdr>
        </w:div>
      </w:divsChild>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11346420">
      <w:bodyDiv w:val="1"/>
      <w:marLeft w:val="0"/>
      <w:marRight w:val="0"/>
      <w:marTop w:val="0"/>
      <w:marBottom w:val="0"/>
      <w:divBdr>
        <w:top w:val="none" w:sz="0" w:space="0" w:color="auto"/>
        <w:left w:val="none" w:sz="0" w:space="0" w:color="auto"/>
        <w:bottom w:val="none" w:sz="0" w:space="0" w:color="auto"/>
        <w:right w:val="none" w:sz="0" w:space="0" w:color="auto"/>
      </w:divBdr>
      <w:divsChild>
        <w:div w:id="1550990472">
          <w:marLeft w:val="274"/>
          <w:marRight w:val="0"/>
          <w:marTop w:val="0"/>
          <w:marBottom w:val="0"/>
          <w:divBdr>
            <w:top w:val="none" w:sz="0" w:space="0" w:color="auto"/>
            <w:left w:val="none" w:sz="0" w:space="0" w:color="auto"/>
            <w:bottom w:val="none" w:sz="0" w:space="0" w:color="auto"/>
            <w:right w:val="none" w:sz="0" w:space="0" w:color="auto"/>
          </w:divBdr>
        </w:div>
        <w:div w:id="2105607818">
          <w:marLeft w:val="274"/>
          <w:marRight w:val="0"/>
          <w:marTop w:val="0"/>
          <w:marBottom w:val="0"/>
          <w:divBdr>
            <w:top w:val="none" w:sz="0" w:space="0" w:color="auto"/>
            <w:left w:val="none" w:sz="0" w:space="0" w:color="auto"/>
            <w:bottom w:val="none" w:sz="0" w:space="0" w:color="auto"/>
            <w:right w:val="none" w:sz="0" w:space="0" w:color="auto"/>
          </w:divBdr>
        </w:div>
      </w:divsChild>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36066365">
      <w:bodyDiv w:val="1"/>
      <w:marLeft w:val="0"/>
      <w:marRight w:val="0"/>
      <w:marTop w:val="0"/>
      <w:marBottom w:val="0"/>
      <w:divBdr>
        <w:top w:val="none" w:sz="0" w:space="0" w:color="auto"/>
        <w:left w:val="none" w:sz="0" w:space="0" w:color="auto"/>
        <w:bottom w:val="none" w:sz="0" w:space="0" w:color="auto"/>
        <w:right w:val="none" w:sz="0" w:space="0" w:color="auto"/>
      </w:divBdr>
      <w:divsChild>
        <w:div w:id="849295933">
          <w:marLeft w:val="274"/>
          <w:marRight w:val="0"/>
          <w:marTop w:val="0"/>
          <w:marBottom w:val="0"/>
          <w:divBdr>
            <w:top w:val="none" w:sz="0" w:space="0" w:color="auto"/>
            <w:left w:val="none" w:sz="0" w:space="0" w:color="auto"/>
            <w:bottom w:val="none" w:sz="0" w:space="0" w:color="auto"/>
            <w:right w:val="none" w:sz="0" w:space="0" w:color="auto"/>
          </w:divBdr>
        </w:div>
        <w:div w:id="1792822098">
          <w:marLeft w:val="274"/>
          <w:marRight w:val="0"/>
          <w:marTop w:val="0"/>
          <w:marBottom w:val="0"/>
          <w:divBdr>
            <w:top w:val="none" w:sz="0" w:space="0" w:color="auto"/>
            <w:left w:val="none" w:sz="0" w:space="0" w:color="auto"/>
            <w:bottom w:val="none" w:sz="0" w:space="0" w:color="auto"/>
            <w:right w:val="none" w:sz="0" w:space="0" w:color="auto"/>
          </w:divBdr>
        </w:div>
        <w:div w:id="681249874">
          <w:marLeft w:val="274"/>
          <w:marRight w:val="0"/>
          <w:marTop w:val="0"/>
          <w:marBottom w:val="0"/>
          <w:divBdr>
            <w:top w:val="none" w:sz="0" w:space="0" w:color="auto"/>
            <w:left w:val="none" w:sz="0" w:space="0" w:color="auto"/>
            <w:bottom w:val="none" w:sz="0" w:space="0" w:color="auto"/>
            <w:right w:val="none" w:sz="0" w:space="0" w:color="auto"/>
          </w:divBdr>
        </w:div>
        <w:div w:id="1387340597">
          <w:marLeft w:val="274"/>
          <w:marRight w:val="0"/>
          <w:marTop w:val="0"/>
          <w:marBottom w:val="0"/>
          <w:divBdr>
            <w:top w:val="none" w:sz="0" w:space="0" w:color="auto"/>
            <w:left w:val="none" w:sz="0" w:space="0" w:color="auto"/>
            <w:bottom w:val="none" w:sz="0" w:space="0" w:color="auto"/>
            <w:right w:val="none" w:sz="0" w:space="0" w:color="auto"/>
          </w:divBdr>
        </w:div>
        <w:div w:id="625476884">
          <w:marLeft w:val="274"/>
          <w:marRight w:val="0"/>
          <w:marTop w:val="0"/>
          <w:marBottom w:val="0"/>
          <w:divBdr>
            <w:top w:val="none" w:sz="0" w:space="0" w:color="auto"/>
            <w:left w:val="none" w:sz="0" w:space="0" w:color="auto"/>
            <w:bottom w:val="none" w:sz="0" w:space="0" w:color="auto"/>
            <w:right w:val="none" w:sz="0" w:space="0" w:color="auto"/>
          </w:divBdr>
        </w:div>
        <w:div w:id="163129309">
          <w:marLeft w:val="274"/>
          <w:marRight w:val="0"/>
          <w:marTop w:val="0"/>
          <w:marBottom w:val="0"/>
          <w:divBdr>
            <w:top w:val="none" w:sz="0" w:space="0" w:color="auto"/>
            <w:left w:val="none" w:sz="0" w:space="0" w:color="auto"/>
            <w:bottom w:val="none" w:sz="0" w:space="0" w:color="auto"/>
            <w:right w:val="none" w:sz="0" w:space="0" w:color="auto"/>
          </w:divBdr>
        </w:div>
      </w:divsChild>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specifications-groups/delegates-corner/writing-a-new-spec"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1874</Words>
  <Characters>10685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12534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MediaTek Inc.</cp:lastModifiedBy>
  <cp:revision>4</cp:revision>
  <cp:lastPrinted>2001-04-23T09:30:00Z</cp:lastPrinted>
  <dcterms:created xsi:type="dcterms:W3CDTF">2023-05-22T09:35:00Z</dcterms:created>
  <dcterms:modified xsi:type="dcterms:W3CDTF">2023-05-29T19:01:00Z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2023-05-17T16:37:52Z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cd197cf0-bce9-416d-a713-82d244ec259b</vt:lpwstr>
  </property>
  <property fmtid="{D5CDD505-2E9C-101B-9397-08002B2CF9AE}" pid="8" name="MSIP_Label_83bcef13-7cac-433f-ba1d-47a323951816_ContentBits">
    <vt:lpwstr>0</vt:lpwstr>
  </property>
</Properties>
</file>